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bookmarkStart w:id="221" w:name="_GoBack"/>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4384"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8"/>
                              <w:spacing w:before="0" w:after="0"/>
                              <w:rPr>
                                <w:rFonts w:ascii="黑体" w:hAnsi="黑体" w:eastAsia="黑体"/>
                                <w:b w:val="0"/>
                                <w:sz w:val="52"/>
                                <w:szCs w:val="52"/>
                              </w:rPr>
                            </w:pPr>
                            <w:bookmarkStart w:id="219" w:name="_Toc440007486"/>
                            <w:bookmarkStart w:id="220" w:name="_Toc444776325"/>
                            <w:r>
                              <w:rPr>
                                <w:rFonts w:hint="eastAsia" w:ascii="黑体" w:hAnsi="Times New Roman" w:eastAsia="黑体"/>
                                <w:b w:val="0"/>
                                <w:bCs w:val="0"/>
                                <w:color w:val="002071"/>
                                <w:sz w:val="52"/>
                                <w:szCs w:val="52"/>
                              </w:rPr>
                              <w:t>创新管理体系认证实施方案</w:t>
                            </w:r>
                            <w:bookmarkEnd w:id="219"/>
                            <w:bookmarkEnd w:id="220"/>
                          </w:p>
                          <w:p>
                            <w:pPr>
                              <w:jc w:val="center"/>
                              <w:rPr>
                                <w:rFonts w:ascii="黑体" w:eastAsia="黑体"/>
                                <w:color w:val="002071"/>
                                <w:sz w:val="52"/>
                                <w:szCs w:val="52"/>
                              </w:rPr>
                            </w:pPr>
                          </w:p>
                          <w:p>
                            <w:pPr>
                              <w:pStyle w:val="18"/>
                              <w:spacing w:before="0" w:after="0"/>
                              <w:rPr>
                                <w:rFonts w:ascii="黑体" w:hAnsi="Times New Roman" w:eastAsia="黑体"/>
                                <w:b w:val="0"/>
                                <w:bCs w:val="0"/>
                                <w:color w:val="002071"/>
                                <w:sz w:val="52"/>
                                <w:szCs w:val="52"/>
                              </w:rPr>
                            </w:pPr>
                          </w:p>
                          <w:p>
                            <w:pPr>
                              <w:pStyle w:val="6"/>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4384;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MhCw/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pStyle w:val="18"/>
                        <w:spacing w:before="0" w:after="0"/>
                        <w:rPr>
                          <w:rFonts w:ascii="黑体" w:hAnsi="黑体" w:eastAsia="黑体"/>
                          <w:b w:val="0"/>
                          <w:sz w:val="52"/>
                          <w:szCs w:val="52"/>
                        </w:rPr>
                      </w:pPr>
                      <w:bookmarkStart w:id="219" w:name="_Toc440007486"/>
                      <w:bookmarkStart w:id="220" w:name="_Toc444776325"/>
                      <w:r>
                        <w:rPr>
                          <w:rFonts w:hint="eastAsia" w:ascii="黑体" w:hAnsi="Times New Roman" w:eastAsia="黑体"/>
                          <w:b w:val="0"/>
                          <w:bCs w:val="0"/>
                          <w:color w:val="002071"/>
                          <w:sz w:val="52"/>
                          <w:szCs w:val="52"/>
                        </w:rPr>
                        <w:t>创新管理体系认证实施方案</w:t>
                      </w:r>
                      <w:bookmarkEnd w:id="219"/>
                      <w:bookmarkEnd w:id="220"/>
                    </w:p>
                    <w:p>
                      <w:pPr>
                        <w:jc w:val="center"/>
                        <w:rPr>
                          <w:rFonts w:ascii="黑体" w:eastAsia="黑体"/>
                          <w:color w:val="002071"/>
                          <w:sz w:val="52"/>
                          <w:szCs w:val="52"/>
                        </w:rPr>
                      </w:pPr>
                    </w:p>
                    <w:p>
                      <w:pPr>
                        <w:pStyle w:val="18"/>
                        <w:spacing w:before="0" w:after="0"/>
                        <w:rPr>
                          <w:rFonts w:ascii="黑体" w:hAnsi="Times New Roman" w:eastAsia="黑体"/>
                          <w:b w:val="0"/>
                          <w:bCs w:val="0"/>
                          <w:color w:val="002071"/>
                          <w:sz w:val="52"/>
                          <w:szCs w:val="52"/>
                        </w:rPr>
                      </w:pPr>
                    </w:p>
                    <w:p>
                      <w:pPr>
                        <w:pStyle w:val="6"/>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19"/>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CQM/S-FN-48-047</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2024年</w:t>
            </w:r>
            <w:r>
              <w:rPr>
                <w:rFonts w:hint="eastAsia" w:ascii="隶书" w:hAnsi="思源黑体 CN Medium" w:eastAsia="隶书" w:cs="思源黑体 CN Medium"/>
                <w:color w:val="002071"/>
                <w:sz w:val="28"/>
                <w:szCs w:val="15"/>
                <w:highlight w:val="none"/>
                <w:lang w:val="en-US" w:eastAsia="zh-CN"/>
              </w:rPr>
              <w:t>02</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26</w:t>
            </w:r>
            <w:r>
              <w:rPr>
                <w:rFonts w:hint="eastAsia" w:ascii="隶书" w:hAnsi="思源黑体 CN Medium" w:eastAsia="隶书" w:cs="思源黑体 CN Medium"/>
                <w:color w:val="002071"/>
                <w:sz w:val="28"/>
                <w:szCs w:val="15"/>
                <w:highlight w:val="none"/>
              </w:rPr>
              <w:t>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09</w:t>
            </w:r>
            <w:r>
              <w:rPr>
                <w:rFonts w:hint="eastAsia" w:ascii="隶书" w:hAnsi="思源黑体 CN Medium" w:eastAsia="隶书" w:cs="思源黑体 CN Medium"/>
                <w:color w:val="002071"/>
                <w:sz w:val="28"/>
                <w:szCs w:val="15"/>
                <w:highlight w:val="none"/>
              </w:rPr>
              <w:t>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09</w:t>
            </w:r>
            <w:r>
              <w:rPr>
                <w:rFonts w:hint="eastAsia" w:ascii="隶书" w:hAnsi="思源黑体 CN Medium" w:eastAsia="隶书" w:cs="思源黑体 CN Medium"/>
                <w:color w:val="002071"/>
                <w:sz w:val="28"/>
                <w:szCs w:val="15"/>
                <w:highlight w:val="none"/>
              </w:rPr>
              <w:t>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start="1"/>
          <w:cols w:space="425" w:num="1"/>
          <w:titlePg/>
          <w:docGrid w:type="lines" w:linePitch="312" w:charSpace="0"/>
        </w:sectPr>
      </w:pPr>
    </w:p>
    <w:p>
      <w:pPr>
        <w:spacing w:line="360" w:lineRule="auto"/>
        <w:ind w:firstLine="602" w:firstLineChars="200"/>
        <w:jc w:val="center"/>
        <w:rPr>
          <w:b/>
          <w:bCs/>
          <w:sz w:val="30"/>
          <w:highlight w:val="none"/>
        </w:rPr>
      </w:pPr>
    </w:p>
    <w:p>
      <w:pPr>
        <w:ind w:firstLine="602" w:firstLineChars="200"/>
        <w:jc w:val="center"/>
        <w:rPr>
          <w:b/>
          <w:bCs/>
          <w:sz w:val="30"/>
          <w:highlight w:val="none"/>
        </w:rPr>
      </w:pPr>
      <w:r>
        <w:rPr>
          <w:rFonts w:hint="eastAsia"/>
          <w:b/>
          <w:bCs/>
          <w:sz w:val="30"/>
          <w:highlight w:val="none"/>
        </w:rPr>
        <w:t>目    录</w:t>
      </w:r>
    </w:p>
    <w:p>
      <w:pPr>
        <w:pStyle w:val="14"/>
        <w:tabs>
          <w:tab w:val="right" w:leader="dot" w:pos="8312"/>
        </w:tabs>
        <w:rPr>
          <w:highlight w:val="none"/>
        </w:rPr>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_Toc4926 </w:instrText>
      </w:r>
      <w:r>
        <w:rPr>
          <w:highlight w:val="none"/>
        </w:rPr>
        <w:fldChar w:fldCharType="separate"/>
      </w:r>
      <w:r>
        <w:rPr>
          <w:highlight w:val="none"/>
        </w:rPr>
        <w:t>1</w:t>
      </w:r>
      <w:r>
        <w:rPr>
          <w:rFonts w:hint="eastAsia"/>
          <w:highlight w:val="none"/>
        </w:rPr>
        <w:t xml:space="preserve"> 适用范围</w:t>
      </w:r>
      <w:r>
        <w:rPr>
          <w:highlight w:val="none"/>
        </w:rPr>
        <w:tab/>
      </w:r>
      <w:r>
        <w:rPr>
          <w:highlight w:val="none"/>
        </w:rPr>
        <w:fldChar w:fldCharType="begin"/>
      </w:r>
      <w:r>
        <w:rPr>
          <w:highlight w:val="none"/>
        </w:rPr>
        <w:instrText xml:space="preserve"> PAGEREF _Toc4926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_Toc3215 </w:instrText>
      </w:r>
      <w:r>
        <w:rPr>
          <w:highlight w:val="none"/>
        </w:rPr>
        <w:fldChar w:fldCharType="separate"/>
      </w:r>
      <w:r>
        <w:rPr>
          <w:rFonts w:hint="eastAsia"/>
          <w:highlight w:val="none"/>
        </w:rPr>
        <w:t xml:space="preserve">2 </w:t>
      </w:r>
      <w:r>
        <w:rPr>
          <w:rFonts w:hint="eastAsia"/>
          <w:highlight w:val="none"/>
          <w:lang w:val="en-US" w:eastAsia="zh-CN"/>
        </w:rPr>
        <w:t>认证依据和</w:t>
      </w:r>
      <w:r>
        <w:rPr>
          <w:rFonts w:hint="eastAsia"/>
          <w:highlight w:val="none"/>
        </w:rPr>
        <w:t>认证模式</w:t>
      </w:r>
      <w:r>
        <w:rPr>
          <w:highlight w:val="none"/>
        </w:rPr>
        <w:tab/>
      </w:r>
      <w:r>
        <w:rPr>
          <w:highlight w:val="none"/>
        </w:rPr>
        <w:fldChar w:fldCharType="begin"/>
      </w:r>
      <w:r>
        <w:rPr>
          <w:highlight w:val="none"/>
        </w:rPr>
        <w:instrText xml:space="preserve"> PAGEREF _Toc3215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_Toc32674 </w:instrText>
      </w:r>
      <w:r>
        <w:rPr>
          <w:highlight w:val="none"/>
        </w:rPr>
        <w:fldChar w:fldCharType="separate"/>
      </w:r>
      <w:r>
        <w:rPr>
          <w:rFonts w:hint="eastAsia"/>
          <w:highlight w:val="none"/>
        </w:rPr>
        <w:t>3 认证过程流程图</w:t>
      </w:r>
      <w:r>
        <w:rPr>
          <w:highlight w:val="none"/>
        </w:rPr>
        <w:tab/>
      </w:r>
      <w:r>
        <w:rPr>
          <w:highlight w:val="none"/>
        </w:rPr>
        <w:fldChar w:fldCharType="begin"/>
      </w:r>
      <w:r>
        <w:rPr>
          <w:highlight w:val="none"/>
        </w:rPr>
        <w:instrText xml:space="preserve"> PAGEREF _Toc32674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_Toc3847 </w:instrText>
      </w:r>
      <w:r>
        <w:rPr>
          <w:highlight w:val="none"/>
        </w:rPr>
        <w:fldChar w:fldCharType="separate"/>
      </w:r>
      <w:r>
        <w:rPr>
          <w:rFonts w:hint="eastAsia"/>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_Toc3847 \h </w:instrText>
      </w:r>
      <w:r>
        <w:rPr>
          <w:highlight w:val="none"/>
        </w:rPr>
        <w:fldChar w:fldCharType="separate"/>
      </w:r>
      <w:r>
        <w:rPr>
          <w:highlight w:val="none"/>
        </w:rPr>
        <w:t>3</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_Toc21995 </w:instrText>
      </w:r>
      <w:r>
        <w:rPr>
          <w:highlight w:val="none"/>
        </w:rPr>
        <w:fldChar w:fldCharType="separate"/>
      </w:r>
      <w:r>
        <w:rPr>
          <w:rFonts w:hint="eastAsia" w:ascii="宋体" w:hAnsi="宋体"/>
          <w:highlight w:val="none"/>
          <w:lang w:val="en-US" w:eastAsia="zh-CN"/>
        </w:rPr>
        <w:t>5 审核方案策划</w:t>
      </w:r>
      <w:r>
        <w:rPr>
          <w:highlight w:val="none"/>
        </w:rPr>
        <w:tab/>
      </w:r>
      <w:r>
        <w:rPr>
          <w:highlight w:val="none"/>
        </w:rPr>
        <w:fldChar w:fldCharType="begin"/>
      </w:r>
      <w:r>
        <w:rPr>
          <w:highlight w:val="none"/>
        </w:rPr>
        <w:instrText xml:space="preserve"> PAGEREF _Toc21995 \h </w:instrText>
      </w:r>
      <w:r>
        <w:rPr>
          <w:highlight w:val="none"/>
        </w:rPr>
        <w:fldChar w:fldCharType="separate"/>
      </w:r>
      <w:r>
        <w:rPr>
          <w:highlight w:val="none"/>
        </w:rPr>
        <w:t>4</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_Toc21815 </w:instrText>
      </w:r>
      <w:r>
        <w:rPr>
          <w:highlight w:val="none"/>
        </w:rPr>
        <w:fldChar w:fldCharType="separate"/>
      </w:r>
      <w:r>
        <w:rPr>
          <w:rFonts w:hint="eastAsia" w:ascii="宋体" w:hAnsi="宋体"/>
          <w:highlight w:val="none"/>
          <w:lang w:val="en-US" w:eastAsia="zh-CN"/>
        </w:rPr>
        <w:t>6</w:t>
      </w:r>
      <w:r>
        <w:rPr>
          <w:rFonts w:hint="eastAsia" w:ascii="宋体" w:hAnsi="宋体"/>
          <w:highlight w:val="none"/>
        </w:rPr>
        <w:t xml:space="preserve"> 审核实施</w:t>
      </w:r>
      <w:r>
        <w:rPr>
          <w:highlight w:val="none"/>
        </w:rPr>
        <w:tab/>
      </w:r>
      <w:r>
        <w:rPr>
          <w:highlight w:val="none"/>
        </w:rPr>
        <w:fldChar w:fldCharType="begin"/>
      </w:r>
      <w:r>
        <w:rPr>
          <w:highlight w:val="none"/>
        </w:rPr>
        <w:instrText xml:space="preserve"> PAGEREF _Toc21815 \h </w:instrText>
      </w:r>
      <w:r>
        <w:rPr>
          <w:highlight w:val="none"/>
        </w:rPr>
        <w:fldChar w:fldCharType="separate"/>
      </w:r>
      <w:r>
        <w:rPr>
          <w:highlight w:val="none"/>
        </w:rPr>
        <w:t>4</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_Toc477 </w:instrText>
      </w:r>
      <w:r>
        <w:rPr>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_Toc477 \h </w:instrText>
      </w:r>
      <w:r>
        <w:rPr>
          <w:highlight w:val="none"/>
        </w:rPr>
        <w:fldChar w:fldCharType="separate"/>
      </w:r>
      <w:r>
        <w:rPr>
          <w:highlight w:val="none"/>
        </w:rPr>
        <w:t>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_Toc18681 </w:instrText>
      </w:r>
      <w:r>
        <w:rPr>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_Toc18681 \h </w:instrText>
      </w:r>
      <w:r>
        <w:rPr>
          <w:highlight w:val="none"/>
        </w:rPr>
        <w:fldChar w:fldCharType="separate"/>
      </w:r>
      <w:r>
        <w:rPr>
          <w:highlight w:val="none"/>
        </w:rPr>
        <w:t>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_Toc26221 </w:instrText>
      </w:r>
      <w:r>
        <w:rPr>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_Toc26221 \h </w:instrText>
      </w:r>
      <w:r>
        <w:rPr>
          <w:highlight w:val="none"/>
        </w:rPr>
        <w:fldChar w:fldCharType="separate"/>
      </w:r>
      <w:r>
        <w:rPr>
          <w:highlight w:val="none"/>
        </w:rPr>
        <w:t>10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_Toc26604 </w:instrText>
      </w:r>
      <w:r>
        <w:rPr>
          <w:highlight w:val="none"/>
        </w:rPr>
        <w:fldChar w:fldCharType="separate"/>
      </w:r>
      <w:r>
        <w:rPr>
          <w:rFonts w:hint="eastAsia"/>
          <w:highlight w:val="none"/>
          <w:lang w:val="en-US" w:eastAsia="zh-CN"/>
        </w:rPr>
        <w:t>10</w:t>
      </w:r>
      <w:r>
        <w:rPr>
          <w:rFonts w:hint="eastAsia"/>
          <w:highlight w:val="none"/>
        </w:rPr>
        <w:t xml:space="preserve"> 认证的批准、拒绝、保持、扩大、缩小、暂停、恢复和撤销的条件和程序</w:t>
      </w:r>
      <w:r>
        <w:rPr>
          <w:highlight w:val="none"/>
        </w:rPr>
        <w:tab/>
      </w:r>
      <w:r>
        <w:rPr>
          <w:highlight w:val="none"/>
        </w:rPr>
        <w:fldChar w:fldCharType="begin"/>
      </w:r>
      <w:r>
        <w:rPr>
          <w:highlight w:val="none"/>
        </w:rPr>
        <w:instrText xml:space="preserve"> PAGEREF _Toc26604 \h </w:instrText>
      </w:r>
      <w:r>
        <w:rPr>
          <w:highlight w:val="none"/>
        </w:rPr>
        <w:fldChar w:fldCharType="separate"/>
      </w:r>
      <w:r>
        <w:rPr>
          <w:highlight w:val="none"/>
        </w:rPr>
        <w:t>10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_Toc32588 </w:instrText>
      </w:r>
      <w:r>
        <w:rPr>
          <w:highlight w:val="none"/>
        </w:rPr>
        <w:fldChar w:fldCharType="separate"/>
      </w:r>
      <w:r>
        <w:rPr>
          <w:rFonts w:hint="eastAsia" w:ascii="宋体" w:hAnsi="宋体"/>
          <w:highlight w:val="none"/>
          <w:lang w:val="en-US" w:eastAsia="zh-CN"/>
        </w:rPr>
        <w:t>11</w:t>
      </w:r>
      <w:r>
        <w:rPr>
          <w:rFonts w:hint="eastAsia" w:ascii="宋体" w:hAnsi="宋体"/>
          <w:highlight w:val="none"/>
        </w:rPr>
        <w:t xml:space="preserve"> 认证证书和认证标志</w:t>
      </w:r>
      <w:r>
        <w:rPr>
          <w:highlight w:val="none"/>
        </w:rPr>
        <w:tab/>
      </w:r>
      <w:r>
        <w:rPr>
          <w:highlight w:val="none"/>
        </w:rPr>
        <w:fldChar w:fldCharType="begin"/>
      </w:r>
      <w:r>
        <w:rPr>
          <w:highlight w:val="none"/>
        </w:rPr>
        <w:instrText xml:space="preserve"> PAGEREF _Toc32588 \h </w:instrText>
      </w:r>
      <w:r>
        <w:rPr>
          <w:highlight w:val="none"/>
        </w:rPr>
        <w:fldChar w:fldCharType="separate"/>
      </w:r>
      <w:r>
        <w:rPr>
          <w:highlight w:val="none"/>
        </w:rPr>
        <w:t>18</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_Toc10565 </w:instrText>
      </w:r>
      <w:r>
        <w:rPr>
          <w:highlight w:val="none"/>
        </w:rPr>
        <w:fldChar w:fldCharType="separate"/>
      </w:r>
      <w:r>
        <w:rPr>
          <w:rFonts w:hint="eastAsia" w:ascii="宋体" w:hAnsi="宋体"/>
          <w:highlight w:val="none"/>
          <w:lang w:val="en-US" w:eastAsia="zh-CN"/>
        </w:rPr>
        <w:t>12</w:t>
      </w:r>
      <w:r>
        <w:rPr>
          <w:rFonts w:hint="eastAsia" w:ascii="宋体" w:hAnsi="宋体"/>
          <w:highlight w:val="none"/>
        </w:rPr>
        <w:t xml:space="preserve"> 获证客户的信息通报</w:t>
      </w:r>
      <w:r>
        <w:rPr>
          <w:highlight w:val="none"/>
        </w:rPr>
        <w:tab/>
      </w:r>
      <w:r>
        <w:rPr>
          <w:highlight w:val="none"/>
        </w:rPr>
        <w:fldChar w:fldCharType="begin"/>
      </w:r>
      <w:r>
        <w:rPr>
          <w:highlight w:val="none"/>
        </w:rPr>
        <w:instrText xml:space="preserve"> PAGEREF _Toc10565 \h </w:instrText>
      </w:r>
      <w:r>
        <w:rPr>
          <w:highlight w:val="none"/>
        </w:rPr>
        <w:fldChar w:fldCharType="separate"/>
      </w:r>
      <w:r>
        <w:rPr>
          <w:highlight w:val="none"/>
        </w:rPr>
        <w:t>19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_Toc20480 </w:instrText>
      </w:r>
      <w:r>
        <w:rPr>
          <w:highlight w:val="none"/>
        </w:rPr>
        <w:fldChar w:fldCharType="separate"/>
      </w:r>
      <w:r>
        <w:rPr>
          <w:rFonts w:hint="eastAsia" w:ascii="宋体" w:hAnsi="宋体"/>
          <w:highlight w:val="none"/>
          <w:lang w:val="en-US" w:eastAsia="zh-CN"/>
        </w:rPr>
        <w:t>13</w:t>
      </w:r>
      <w:r>
        <w:rPr>
          <w:rFonts w:hint="eastAsia" w:ascii="宋体" w:hAnsi="宋体"/>
          <w:highlight w:val="none"/>
        </w:rPr>
        <w:t xml:space="preserve"> 认证要求变更的条件和程序</w:t>
      </w:r>
      <w:r>
        <w:rPr>
          <w:highlight w:val="none"/>
        </w:rPr>
        <w:tab/>
      </w:r>
      <w:r>
        <w:rPr>
          <w:highlight w:val="none"/>
        </w:rPr>
        <w:fldChar w:fldCharType="begin"/>
      </w:r>
      <w:r>
        <w:rPr>
          <w:highlight w:val="none"/>
        </w:rPr>
        <w:instrText xml:space="preserve"> PAGEREF _Toc20480 \h </w:instrText>
      </w:r>
      <w:r>
        <w:rPr>
          <w:highlight w:val="none"/>
        </w:rPr>
        <w:fldChar w:fldCharType="separate"/>
      </w:r>
      <w:r>
        <w:rPr>
          <w:highlight w:val="none"/>
        </w:rPr>
        <w:t>19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_Toc20234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r>
        <w:rPr>
          <w:highlight w:val="none"/>
        </w:rPr>
        <w:tab/>
      </w:r>
      <w:r>
        <w:rPr>
          <w:highlight w:val="none"/>
        </w:rPr>
        <w:fldChar w:fldCharType="begin"/>
      </w:r>
      <w:r>
        <w:rPr>
          <w:highlight w:val="none"/>
        </w:rPr>
        <w:instrText xml:space="preserve"> PAGEREF _Toc20234 \h </w:instrText>
      </w:r>
      <w:r>
        <w:rPr>
          <w:highlight w:val="none"/>
        </w:rPr>
        <w:fldChar w:fldCharType="separate"/>
      </w:r>
      <w:r>
        <w:rPr>
          <w:highlight w:val="none"/>
        </w:rPr>
        <w:t>20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_Toc5288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r>
        <w:rPr>
          <w:highlight w:val="none"/>
        </w:rPr>
        <w:tab/>
      </w:r>
      <w:r>
        <w:rPr>
          <w:highlight w:val="none"/>
        </w:rPr>
        <w:fldChar w:fldCharType="begin"/>
      </w:r>
      <w:r>
        <w:rPr>
          <w:highlight w:val="none"/>
        </w:rPr>
        <w:instrText xml:space="preserve"> PAGEREF _Toc5288 \h </w:instrText>
      </w:r>
      <w:r>
        <w:rPr>
          <w:highlight w:val="none"/>
        </w:rPr>
        <w:fldChar w:fldCharType="separate"/>
      </w:r>
      <w:r>
        <w:rPr>
          <w:highlight w:val="none"/>
        </w:rPr>
        <w:t>20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_Toc26190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r>
        <w:rPr>
          <w:highlight w:val="none"/>
        </w:rPr>
        <w:tab/>
      </w:r>
      <w:r>
        <w:rPr>
          <w:highlight w:val="none"/>
        </w:rPr>
        <w:fldChar w:fldCharType="begin"/>
      </w:r>
      <w:r>
        <w:rPr>
          <w:highlight w:val="none"/>
        </w:rPr>
        <w:instrText xml:space="preserve"> PAGEREF _Toc26190 \h </w:instrText>
      </w:r>
      <w:r>
        <w:rPr>
          <w:highlight w:val="none"/>
        </w:rPr>
        <w:fldChar w:fldCharType="separate"/>
      </w:r>
      <w:r>
        <w:rPr>
          <w:highlight w:val="none"/>
        </w:rPr>
        <w:t>20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_Toc2510 </w:instrText>
      </w:r>
      <w:r>
        <w:rPr>
          <w:highlight w:val="none"/>
        </w:rPr>
        <w:fldChar w:fldCharType="separate"/>
      </w:r>
      <w:r>
        <w:rPr>
          <w:rFonts w:hint="eastAsia"/>
          <w:highlight w:val="none"/>
        </w:rPr>
        <w:t>1</w:t>
      </w:r>
      <w:r>
        <w:rPr>
          <w:rFonts w:hint="eastAsia"/>
          <w:highlight w:val="none"/>
          <w:lang w:val="en-US" w:eastAsia="zh-CN"/>
        </w:rPr>
        <w:t>7</w:t>
      </w:r>
      <w:r>
        <w:rPr>
          <w:rFonts w:hint="eastAsia"/>
          <w:highlight w:val="none"/>
        </w:rPr>
        <w:t xml:space="preserve"> 公告</w:t>
      </w:r>
      <w:r>
        <w:rPr>
          <w:highlight w:val="none"/>
        </w:rPr>
        <w:tab/>
      </w:r>
      <w:r>
        <w:rPr>
          <w:highlight w:val="none"/>
        </w:rPr>
        <w:fldChar w:fldCharType="begin"/>
      </w:r>
      <w:r>
        <w:rPr>
          <w:highlight w:val="none"/>
        </w:rPr>
        <w:instrText xml:space="preserve"> PAGEREF _Toc2510 \h </w:instrText>
      </w:r>
      <w:r>
        <w:rPr>
          <w:highlight w:val="none"/>
        </w:rPr>
        <w:fldChar w:fldCharType="separate"/>
      </w:r>
      <w:r>
        <w:rPr>
          <w:highlight w:val="none"/>
        </w:rPr>
        <w:t>20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_Toc5670 </w:instrText>
      </w:r>
      <w:r>
        <w:rPr>
          <w:highlight w:val="none"/>
        </w:rPr>
        <w:fldChar w:fldCharType="separate"/>
      </w:r>
      <w:r>
        <w:rPr>
          <w:rFonts w:hint="eastAsia"/>
          <w:highlight w:val="none"/>
        </w:rPr>
        <w:t>1</w:t>
      </w:r>
      <w:r>
        <w:rPr>
          <w:rFonts w:hint="eastAsia"/>
          <w:highlight w:val="none"/>
          <w:lang w:val="en-US" w:eastAsia="zh-CN"/>
        </w:rPr>
        <w:t>8</w:t>
      </w:r>
      <w:r>
        <w:rPr>
          <w:rFonts w:hint="eastAsia"/>
          <w:highlight w:val="none"/>
        </w:rPr>
        <w:t xml:space="preserve"> 附则</w:t>
      </w:r>
      <w:r>
        <w:rPr>
          <w:highlight w:val="none"/>
        </w:rPr>
        <w:tab/>
      </w:r>
      <w:r>
        <w:rPr>
          <w:highlight w:val="none"/>
        </w:rPr>
        <w:fldChar w:fldCharType="begin"/>
      </w:r>
      <w:r>
        <w:rPr>
          <w:highlight w:val="none"/>
        </w:rPr>
        <w:instrText xml:space="preserve"> PAGEREF _Toc5670 \h </w:instrText>
      </w:r>
      <w:r>
        <w:rPr>
          <w:highlight w:val="none"/>
        </w:rPr>
        <w:fldChar w:fldCharType="separate"/>
      </w:r>
      <w:r>
        <w:rPr>
          <w:highlight w:val="none"/>
        </w:rPr>
        <w:t>20</w:t>
      </w:r>
      <w:r>
        <w:rPr>
          <w:highlight w:val="none"/>
        </w:rPr>
        <w:fldChar w:fldCharType="end"/>
      </w:r>
      <w:r>
        <w:rPr>
          <w:highlight w:val="none"/>
        </w:rPr>
        <w:fldChar w:fldCharType="end"/>
      </w:r>
    </w:p>
    <w:p>
      <w:pPr>
        <w:rPr>
          <w:highlight w:val="none"/>
        </w:rPr>
      </w:pPr>
      <w:r>
        <w:rPr>
          <w:highlight w:val="none"/>
        </w:rPr>
        <w:fldChar w:fldCharType="end"/>
      </w: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pStyle w:val="18"/>
        <w:spacing w:before="0" w:after="0"/>
        <w:jc w:val="both"/>
        <w:rPr>
          <w:rFonts w:ascii="黑体" w:hAnsi="黑体" w:eastAsia="黑体"/>
          <w:b w:val="0"/>
          <w:sz w:val="36"/>
          <w:szCs w:val="36"/>
          <w:highlight w:val="none"/>
        </w:rPr>
      </w:pPr>
      <w:bookmarkStart w:id="0" w:name="_Toc444776326"/>
      <w:bookmarkStart w:id="1" w:name="_Toc440007487"/>
    </w:p>
    <w:p>
      <w:pPr>
        <w:rPr>
          <w:highlight w:val="none"/>
        </w:rPr>
      </w:pPr>
    </w:p>
    <w:p>
      <w:pPr>
        <w:pStyle w:val="18"/>
        <w:spacing w:before="0" w:after="0"/>
        <w:rPr>
          <w:rFonts w:ascii="黑体" w:hAnsi="黑体" w:eastAsia="黑体"/>
          <w:b w:val="0"/>
          <w:sz w:val="48"/>
          <w:szCs w:val="48"/>
          <w:highlight w:val="none"/>
        </w:rPr>
      </w:pPr>
      <w:bookmarkStart w:id="2" w:name="_Toc17428"/>
      <w:bookmarkStart w:id="3" w:name="_Toc26676"/>
      <w:r>
        <w:rPr>
          <w:rFonts w:hint="eastAsia" w:ascii="黑体" w:hAnsi="黑体" w:eastAsia="黑体"/>
          <w:b w:val="0"/>
          <w:sz w:val="36"/>
          <w:szCs w:val="36"/>
          <w:highlight w:val="none"/>
        </w:rPr>
        <w:t>创新管理体系认证实施方案</w:t>
      </w:r>
      <w:bookmarkEnd w:id="0"/>
      <w:bookmarkEnd w:id="1"/>
      <w:bookmarkEnd w:id="2"/>
      <w:bookmarkEnd w:id="3"/>
    </w:p>
    <w:p>
      <w:pPr>
        <w:spacing w:line="360" w:lineRule="auto"/>
        <w:ind w:firstLine="720" w:firstLineChars="200"/>
        <w:jc w:val="center"/>
        <w:rPr>
          <w:rFonts w:ascii="黑体" w:eastAsia="黑体"/>
          <w:sz w:val="36"/>
          <w:szCs w:val="36"/>
          <w:highlight w:val="none"/>
        </w:rPr>
      </w:pPr>
    </w:p>
    <w:p>
      <w:pPr>
        <w:pStyle w:val="2"/>
        <w:spacing w:line="360" w:lineRule="auto"/>
        <w:rPr>
          <w:highlight w:val="none"/>
        </w:rPr>
      </w:pPr>
      <w:bookmarkStart w:id="4" w:name="_Toc185325622"/>
      <w:bookmarkStart w:id="5" w:name="_Toc4926"/>
      <w:bookmarkStart w:id="6" w:name="_Toc85105511"/>
      <w:bookmarkStart w:id="7" w:name="_Toc85103622"/>
      <w:bookmarkStart w:id="8" w:name="_Toc85256247"/>
      <w:r>
        <w:rPr>
          <w:highlight w:val="none"/>
        </w:rPr>
        <w:t>1</w:t>
      </w:r>
      <w:r>
        <w:rPr>
          <w:rFonts w:hint="eastAsia"/>
          <w:highlight w:val="none"/>
        </w:rPr>
        <w:t xml:space="preserve"> 适用范围</w:t>
      </w:r>
      <w:bookmarkEnd w:id="4"/>
      <w:bookmarkEnd w:id="5"/>
      <w:bookmarkEnd w:id="6"/>
      <w:bookmarkEnd w:id="7"/>
      <w:bookmarkEnd w:id="8"/>
    </w:p>
    <w:p>
      <w:pPr>
        <w:spacing w:line="360" w:lineRule="auto"/>
        <w:ind w:firstLine="480" w:firstLineChars="200"/>
        <w:rPr>
          <w:rFonts w:ascii="宋体" w:hAnsi="宋体"/>
          <w:sz w:val="24"/>
          <w:highlight w:val="none"/>
        </w:rPr>
      </w:pPr>
      <w:r>
        <w:rPr>
          <w:rFonts w:hint="eastAsia" w:ascii="宋体" w:hAnsi="宋体"/>
          <w:sz w:val="24"/>
          <w:highlight w:val="none"/>
        </w:rPr>
        <w:t>本认证方案适用于方圆标志认证集团有限公司（以下简称：CQM）实施创新管理体系认证，满足第三方认证制度要求，作为提供认证服务的规范。必要时，在认证合同中补充相关的技术要求。</w:t>
      </w:r>
    </w:p>
    <w:p>
      <w:pPr>
        <w:spacing w:line="360" w:lineRule="auto"/>
        <w:ind w:firstLine="480" w:firstLineChars="200"/>
        <w:rPr>
          <w:sz w:val="24"/>
          <w:highlight w:val="none"/>
        </w:rPr>
      </w:pPr>
      <w:r>
        <w:rPr>
          <w:rFonts w:hint="eastAsia"/>
          <w:sz w:val="24"/>
          <w:highlight w:val="none"/>
        </w:rPr>
        <w:t>本认证方案在认证双方签订合同时予以确认和采用。</w:t>
      </w:r>
      <w:bookmarkStart w:id="9" w:name="_Toc33598531"/>
      <w:bookmarkStart w:id="10" w:name="_Toc85105512"/>
      <w:bookmarkStart w:id="11" w:name="_Toc85256248"/>
      <w:bookmarkStart w:id="12" w:name="_Toc33599577"/>
      <w:bookmarkStart w:id="13" w:name="_Toc85103623"/>
      <w:bookmarkStart w:id="14" w:name="_Toc33598902"/>
      <w:bookmarkStart w:id="15" w:name="_Toc33599704"/>
      <w:bookmarkStart w:id="16" w:name="_Toc33600411"/>
      <w:bookmarkStart w:id="17" w:name="_Toc33600362"/>
      <w:bookmarkStart w:id="18" w:name="_Toc33598962"/>
    </w:p>
    <w:p>
      <w:pPr>
        <w:spacing w:line="360" w:lineRule="auto"/>
        <w:ind w:firstLine="480" w:firstLineChars="200"/>
        <w:rPr>
          <w:sz w:val="24"/>
          <w:highlight w:val="none"/>
        </w:rPr>
      </w:pPr>
    </w:p>
    <w:p>
      <w:pPr>
        <w:pStyle w:val="2"/>
        <w:spacing w:line="360" w:lineRule="auto"/>
        <w:rPr>
          <w:highlight w:val="none"/>
        </w:rPr>
      </w:pPr>
      <w:bookmarkStart w:id="19" w:name="_Toc185325623"/>
      <w:bookmarkStart w:id="20" w:name="_Toc3215"/>
      <w:r>
        <w:rPr>
          <w:rFonts w:hint="eastAsia"/>
          <w:highlight w:val="none"/>
        </w:rPr>
        <w:t xml:space="preserve">2 </w:t>
      </w:r>
      <w:r>
        <w:rPr>
          <w:rFonts w:hint="eastAsia"/>
          <w:highlight w:val="none"/>
          <w:lang w:val="en-US" w:eastAsia="zh-CN"/>
        </w:rPr>
        <w:t>认证依据和</w:t>
      </w:r>
      <w:r>
        <w:rPr>
          <w:rFonts w:hint="eastAsia"/>
          <w:highlight w:val="none"/>
        </w:rPr>
        <w:t>认证模式</w:t>
      </w:r>
      <w:bookmarkEnd w:id="9"/>
      <w:bookmarkEnd w:id="10"/>
      <w:bookmarkEnd w:id="11"/>
      <w:bookmarkEnd w:id="12"/>
      <w:bookmarkEnd w:id="13"/>
      <w:bookmarkEnd w:id="14"/>
      <w:bookmarkEnd w:id="15"/>
      <w:bookmarkEnd w:id="16"/>
      <w:bookmarkEnd w:id="17"/>
      <w:bookmarkEnd w:id="18"/>
      <w:bookmarkEnd w:id="19"/>
      <w:bookmarkEnd w:id="20"/>
    </w:p>
    <w:p>
      <w:pPr>
        <w:spacing w:line="360" w:lineRule="auto"/>
        <w:ind w:firstLine="480" w:firstLineChars="200"/>
        <w:rPr>
          <w:rFonts w:hint="default" w:ascii="宋体" w:hAnsi="宋体"/>
          <w:sz w:val="24"/>
          <w:highlight w:val="none"/>
          <w:lang w:val="en-US" w:eastAsia="zh-CN"/>
        </w:rPr>
      </w:pPr>
      <w:r>
        <w:rPr>
          <w:rFonts w:hint="eastAsia" w:ascii="宋体" w:hAnsi="宋体"/>
          <w:sz w:val="24"/>
          <w:highlight w:val="none"/>
          <w:lang w:val="en-US" w:eastAsia="zh-CN"/>
        </w:rPr>
        <w:t>认证依据：</w:t>
      </w:r>
      <w:r>
        <w:rPr>
          <w:rFonts w:hint="eastAsia" w:ascii="宋体" w:hAnsi="宋体"/>
          <w:sz w:val="24"/>
          <w:highlight w:val="none"/>
        </w:rPr>
        <w:t>ISO 5600</w:t>
      </w:r>
      <w:r>
        <w:rPr>
          <w:rFonts w:hint="eastAsia" w:ascii="宋体" w:hAnsi="宋体"/>
          <w:sz w:val="24"/>
          <w:highlight w:val="none"/>
          <w:lang w:val="en-US" w:eastAsia="zh-CN"/>
        </w:rPr>
        <w:t>1</w:t>
      </w:r>
      <w:r>
        <w:rPr>
          <w:rFonts w:hint="eastAsia" w:ascii="宋体" w:hAnsi="宋体"/>
          <w:sz w:val="24"/>
          <w:highlight w:val="none"/>
        </w:rPr>
        <w:t>:20</w:t>
      </w:r>
      <w:r>
        <w:rPr>
          <w:rFonts w:hint="eastAsia" w:ascii="宋体" w:hAnsi="宋体"/>
          <w:sz w:val="24"/>
          <w:highlight w:val="none"/>
          <w:lang w:val="en-US" w:eastAsia="zh-CN"/>
        </w:rPr>
        <w:t>24《创新管理体系  要求》或</w:t>
      </w:r>
    </w:p>
    <w:p>
      <w:pPr>
        <w:spacing w:line="360" w:lineRule="auto"/>
        <w:ind w:firstLine="1680" w:firstLineChars="700"/>
        <w:rPr>
          <w:rFonts w:hint="default" w:ascii="宋体" w:hAnsi="宋体" w:eastAsia="宋体"/>
          <w:sz w:val="24"/>
          <w:highlight w:val="none"/>
          <w:lang w:val="en-US" w:eastAsia="zh-CN"/>
        </w:rPr>
      </w:pPr>
      <w:r>
        <w:rPr>
          <w:rFonts w:hint="eastAsia" w:ascii="宋体" w:hAnsi="宋体"/>
          <w:sz w:val="24"/>
          <w:highlight w:val="none"/>
        </w:rPr>
        <w:t>ISO 56002:2019</w:t>
      </w:r>
      <w:r>
        <w:rPr>
          <w:rFonts w:hint="eastAsia" w:ascii="宋体" w:hAnsi="宋体"/>
          <w:sz w:val="24"/>
          <w:highlight w:val="none"/>
          <w:lang w:val="en-US" w:eastAsia="zh-CN"/>
        </w:rPr>
        <w:t xml:space="preserve"> </w:t>
      </w:r>
      <w:r>
        <w:rPr>
          <w:rFonts w:hint="eastAsia" w:ascii="宋体" w:hAnsi="宋体"/>
          <w:sz w:val="24"/>
          <w:highlight w:val="none"/>
          <w:lang w:eastAsia="zh-CN"/>
        </w:rPr>
        <w:t>《</w:t>
      </w:r>
      <w:r>
        <w:rPr>
          <w:rFonts w:ascii="宋体" w:hAnsi="宋体" w:eastAsia="宋体" w:cs="宋体"/>
          <w:sz w:val="24"/>
          <w:szCs w:val="24"/>
          <w:highlight w:val="none"/>
        </w:rPr>
        <w:t>创新管理–创新管理体系指南</w:t>
      </w:r>
      <w:r>
        <w:rPr>
          <w:rFonts w:hint="eastAsia" w:ascii="宋体" w:hAnsi="宋体"/>
          <w:sz w:val="24"/>
          <w:highlight w:val="none"/>
          <w:lang w:eastAsia="zh-CN"/>
        </w:rPr>
        <w:t>》。</w:t>
      </w:r>
    </w:p>
    <w:p>
      <w:pPr>
        <w:spacing w:line="360" w:lineRule="auto"/>
        <w:ind w:firstLine="480" w:firstLineChars="200"/>
        <w:rPr>
          <w:rFonts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ascii="宋体" w:hAnsi="宋体"/>
          <w:sz w:val="24"/>
          <w:highlight w:val="none"/>
        </w:rPr>
      </w:pPr>
    </w:p>
    <w:p>
      <w:pPr>
        <w:pStyle w:val="2"/>
        <w:spacing w:line="360" w:lineRule="auto"/>
        <w:rPr>
          <w:highlight w:val="none"/>
        </w:rPr>
      </w:pPr>
      <w:bookmarkStart w:id="21" w:name="_Toc85256249"/>
      <w:bookmarkStart w:id="22" w:name="_Toc85103624"/>
      <w:bookmarkStart w:id="23" w:name="_Toc85105513"/>
      <w:bookmarkStart w:id="24" w:name="_Toc185325624"/>
      <w:bookmarkStart w:id="25" w:name="_Toc32674"/>
      <w:r>
        <w:rPr>
          <w:rFonts w:hint="eastAsia"/>
          <w:highlight w:val="none"/>
        </w:rPr>
        <w:t>3 认证过程流程图</w:t>
      </w:r>
      <w:bookmarkEnd w:id="21"/>
      <w:bookmarkEnd w:id="22"/>
      <w:bookmarkEnd w:id="23"/>
      <w:bookmarkEnd w:id="24"/>
      <w:bookmarkEnd w:id="25"/>
    </w:p>
    <w:p>
      <w:pPr>
        <w:spacing w:line="360" w:lineRule="auto"/>
        <w:rPr>
          <w:highlight w:val="none"/>
        </w:rPr>
      </w:pPr>
      <w:r>
        <w:rPr>
          <w:highlight w:val="none"/>
        </w:rPr>
        <w:pict>
          <v:shape id="Object 26" o:spid="_x0000_s1046" o:spt="75" type="#_x0000_t75" style="position:absolute;left:0pt;margin-left:91.5pt;margin-top:3.15pt;height:286pt;width:226.5pt;z-index:251665408;mso-width-relative:page;mso-height-relative:page;" o:ole="t" filled="f" o:preferrelative="t" stroked="f" coordsize="21600,21600">
            <v:path/>
            <v:fill on="f" focussize="0,0"/>
            <v:stroke on="f" joinstyle="miter"/>
            <v:imagedata r:id="rId12" o:title=""/>
            <o:lock v:ext="edit" aspectratio="t"/>
          </v:shape>
          <o:OLEObject Type="Embed" ProgID="Visio.Drawing.11" ShapeID="Object 26" DrawAspect="Content" ObjectID="_1468075725" r:id="rId11">
            <o:LockedField>false</o:LockedField>
          </o:OLEObject>
        </w:pict>
      </w: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pStyle w:val="2"/>
        <w:spacing w:line="360" w:lineRule="auto"/>
        <w:rPr>
          <w:highlight w:val="none"/>
        </w:rPr>
      </w:pPr>
      <w:bookmarkStart w:id="26" w:name="_Toc33600412"/>
      <w:bookmarkStart w:id="27" w:name="_Toc85103625"/>
      <w:bookmarkStart w:id="28" w:name="_Toc33598532"/>
      <w:bookmarkStart w:id="29" w:name="_Toc33600363"/>
      <w:bookmarkStart w:id="30" w:name="_Toc33598963"/>
      <w:bookmarkStart w:id="31" w:name="_Toc33598903"/>
      <w:bookmarkStart w:id="32" w:name="_Toc85256250"/>
      <w:bookmarkStart w:id="33" w:name="_Toc85105514"/>
      <w:bookmarkStart w:id="34" w:name="_Toc33599578"/>
      <w:bookmarkStart w:id="35" w:name="_Toc33599705"/>
      <w:bookmarkStart w:id="36" w:name="_Toc185325625"/>
      <w:bookmarkStart w:id="37" w:name="_Toc3847"/>
      <w:r>
        <w:rPr>
          <w:rFonts w:hint="eastAsia"/>
          <w:highlight w:val="none"/>
        </w:rPr>
        <w:t>4 认证申请</w:t>
      </w:r>
      <w:bookmarkEnd w:id="26"/>
      <w:bookmarkEnd w:id="27"/>
      <w:bookmarkEnd w:id="28"/>
      <w:bookmarkEnd w:id="29"/>
      <w:bookmarkEnd w:id="30"/>
      <w:bookmarkEnd w:id="31"/>
      <w:bookmarkEnd w:id="32"/>
      <w:bookmarkEnd w:id="33"/>
      <w:bookmarkEnd w:id="34"/>
      <w:bookmarkEnd w:id="35"/>
      <w:bookmarkEnd w:id="36"/>
      <w:r>
        <w:rPr>
          <w:rFonts w:hint="eastAsia"/>
          <w:highlight w:val="none"/>
          <w:lang w:val="en-US" w:eastAsia="zh-CN"/>
        </w:rPr>
        <w:t>及评审</w:t>
      </w:r>
      <w:bookmarkEnd w:id="37"/>
    </w:p>
    <w:p>
      <w:pPr>
        <w:spacing w:line="360" w:lineRule="auto"/>
        <w:rPr>
          <w:rFonts w:hint="default" w:ascii="Arial" w:hAnsi="Arial" w:cs="Arial"/>
          <w:color w:val="000000"/>
          <w:sz w:val="24"/>
          <w:highlight w:val="none"/>
          <w:lang w:val="en-US" w:eastAsia="zh-CN"/>
        </w:rPr>
      </w:pPr>
      <w:r>
        <w:rPr>
          <w:rFonts w:hint="eastAsia" w:ascii="Arial" w:hAnsi="Arial" w:cs="Arial"/>
          <w:color w:val="000000"/>
          <w:sz w:val="24"/>
          <w:highlight w:val="none"/>
          <w:lang w:val="en-US" w:eastAsia="zh-CN"/>
        </w:rPr>
        <w:t>4.1</w:t>
      </w:r>
      <w:r>
        <w:rPr>
          <w:rFonts w:hint="eastAsia" w:ascii="Arial" w:hAnsi="Arial" w:eastAsia="宋体" w:cs="Arial"/>
          <w:color w:val="000000"/>
          <w:sz w:val="24"/>
          <w:highlight w:val="none"/>
          <w:lang w:val="en-US" w:eastAsia="zh-CN"/>
        </w:rPr>
        <w:t xml:space="preserve"> 申请条件</w:t>
      </w:r>
    </w:p>
    <w:p>
      <w:pPr>
        <w:numPr>
          <w:ilvl w:val="0"/>
          <w:numId w:val="1"/>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认证客户按相关的管理体系标准建立了文件化的管理体系。初次认证现场审核前已至少持续稳定运行了</w:t>
      </w:r>
      <w:r>
        <w:rPr>
          <w:rFonts w:ascii="宋体" w:hAnsi="宋体" w:cs="宋体"/>
          <w:color w:val="000000"/>
          <w:sz w:val="24"/>
          <w:highlight w:val="none"/>
        </w:rPr>
        <w:t>3</w:t>
      </w:r>
      <w:r>
        <w:rPr>
          <w:rFonts w:hint="eastAsia" w:ascii="宋体" w:hAnsi="宋体" w:cs="宋体"/>
          <w:color w:val="000000"/>
          <w:sz w:val="24"/>
          <w:highlight w:val="none"/>
        </w:rPr>
        <w:t>个月，至少已实施一次完整的内审和管理评审或已编制实施计划，并承诺在证书有效期内，持续有效运行管理体系；</w:t>
      </w:r>
    </w:p>
    <w:p>
      <w:pPr>
        <w:numPr>
          <w:ilvl w:val="0"/>
          <w:numId w:val="1"/>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认证客户应有创新活动，必要的办公设施，以确保体系可以有效运行；</w:t>
      </w:r>
    </w:p>
    <w:p>
      <w:pPr>
        <w:numPr>
          <w:ilvl w:val="0"/>
          <w:numId w:val="1"/>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认证客户承诺遵守国家的法律、法规及其他要求,承诺始终遵守认证的有关规定，承担与认证有关的法律责任，并有义务协助认证监管部门的监督检查，对有关事项的询问和调查如实提供相关材料和信息；认证客户未受到</w:t>
      </w:r>
      <w:r>
        <w:rPr>
          <w:rFonts w:hint="eastAsia" w:ascii="宋体" w:hAnsi="宋体" w:cs="宋体"/>
          <w:color w:val="000000"/>
          <w:sz w:val="24"/>
          <w:highlight w:val="none"/>
          <w:lang w:val="en-US" w:eastAsia="zh-CN"/>
        </w:rPr>
        <w:t>与创新活动有关的</w:t>
      </w:r>
      <w:r>
        <w:rPr>
          <w:rFonts w:hint="eastAsia" w:ascii="宋体" w:hAnsi="宋体" w:cs="宋体"/>
          <w:color w:val="000000"/>
          <w:sz w:val="24"/>
          <w:highlight w:val="none"/>
        </w:rPr>
        <w:t>行政管理部门责令停业整顿，或者纳入国家信用信息失信主体名录或在全国企业信用信息公示系统中被列入“严重违法企业名单”</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ascii="宋体" w:hAnsi="宋体" w:cs="宋体"/>
          <w:color w:val="000000"/>
          <w:sz w:val="24"/>
          <w:highlight w:val="none"/>
        </w:rPr>
        <w:t>或虚报、瞒报获证所需信息的情况；</w:t>
      </w:r>
    </w:p>
    <w:p>
      <w:pPr>
        <w:numPr>
          <w:ilvl w:val="0"/>
          <w:numId w:val="1"/>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认证客户承诺获得CQM认证后，按规定使用认证证书和认证标志和有关信息，不得擅自利用管理体系认证证书的文字、符号误导公众认为其产品或服务通过认证</w:t>
      </w:r>
      <w:r>
        <w:rPr>
          <w:rFonts w:hint="eastAsia" w:ascii="宋体" w:hAnsi="宋体" w:cs="宋体"/>
          <w:color w:val="000000"/>
          <w:sz w:val="24"/>
          <w:highlight w:val="none"/>
          <w:lang w:eastAsia="zh-CN"/>
        </w:rPr>
        <w:t>；</w:t>
      </w:r>
      <w:r>
        <w:rPr>
          <w:rFonts w:hint="eastAsia" w:ascii="宋体" w:hAnsi="宋体" w:cs="宋体"/>
          <w:color w:val="000000"/>
          <w:sz w:val="24"/>
          <w:highlight w:val="none"/>
        </w:rPr>
        <w:t>按合同支付认证费用，并按规定接受监督；</w:t>
      </w:r>
    </w:p>
    <w:p>
      <w:pPr>
        <w:numPr>
          <w:ilvl w:val="0"/>
          <w:numId w:val="1"/>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认证客户承诺获得CQM认证后，按照CQM要求向CQM通报管理体系变更的信息和其他可能影响管理体系持续满足认证标准要求的能力的事宜的信息，一般包括：客户及相关方有重大投诉；相关情况发生变更（包括：法律地位、生产经营状况、组织状态或所有权变更、强制性认证或其他资质证书变更；法定代表人、最高管理者、管理者代表发生变更；生产经营或服务的工作场所变更；管理体系覆盖的活动范围变更；管理体系和重要过程的重大变更等）；出现影响管理体系运行的其他重要情况；</w:t>
      </w:r>
    </w:p>
    <w:p>
      <w:pPr>
        <w:numPr>
          <w:ilvl w:val="0"/>
          <w:numId w:val="1"/>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认证审核期间，认证客户能够提供与拟认证范围相关的活动或过程。</w:t>
      </w:r>
    </w:p>
    <w:p>
      <w:pPr>
        <w:spacing w:line="360" w:lineRule="auto"/>
        <w:rPr>
          <w:rFonts w:ascii="宋体" w:hAnsi="宋体" w:cs="宋体"/>
          <w:sz w:val="24"/>
          <w:highlight w:val="none"/>
        </w:rPr>
      </w:pPr>
      <w:r>
        <w:rPr>
          <w:rFonts w:hint="eastAsia" w:ascii="宋体" w:hAnsi="宋体" w:cs="宋体"/>
          <w:sz w:val="24"/>
          <w:highlight w:val="none"/>
        </w:rPr>
        <w:t>4.2不予受理认证申请的情形</w:t>
      </w:r>
    </w:p>
    <w:p>
      <w:pPr>
        <w:widowControl/>
        <w:spacing w:before="72" w:after="72" w:line="560" w:lineRule="exact"/>
        <w:ind w:firstLine="56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a)</w:t>
      </w:r>
      <w:r>
        <w:rPr>
          <w:rFonts w:hint="eastAsia" w:ascii="宋体" w:hAnsi="宋体" w:eastAsia="宋体" w:cs="宋体"/>
          <w:sz w:val="24"/>
          <w:szCs w:val="24"/>
          <w:highlight w:val="none"/>
        </w:rPr>
        <w:t>申请组织或申请组织的法人被纳入国家信用信息失信主体名录的。</w:t>
      </w:r>
    </w:p>
    <w:p>
      <w:pPr>
        <w:widowControl/>
        <w:spacing w:before="72" w:after="72" w:line="560" w:lineRule="exact"/>
        <w:ind w:firstLine="560"/>
        <w:rPr>
          <w:rFonts w:hint="eastAsia" w:ascii="宋体" w:hAnsi="宋体" w:eastAsia="宋体" w:cs="宋体"/>
          <w:sz w:val="24"/>
          <w:szCs w:val="24"/>
          <w:highlight w:val="none"/>
        </w:rPr>
      </w:pPr>
      <w:bookmarkStart w:id="38" w:name="_Toc148945630"/>
      <w:bookmarkStart w:id="39" w:name="_Toc26595"/>
      <w:bookmarkStart w:id="40" w:name="_Toc4591"/>
      <w:bookmarkStart w:id="41" w:name="_Toc30964"/>
      <w:bookmarkStart w:id="42" w:name="_Toc10320"/>
      <w:r>
        <w:rPr>
          <w:rFonts w:hint="eastAsia" w:ascii="宋体" w:hAnsi="宋体" w:eastAsia="宋体" w:cs="宋体"/>
          <w:sz w:val="24"/>
          <w:szCs w:val="24"/>
          <w:highlight w:val="none"/>
          <w:lang w:val="en-US" w:eastAsia="zh-CN"/>
        </w:rPr>
        <w:t>b)</w:t>
      </w:r>
      <w:r>
        <w:rPr>
          <w:rFonts w:hint="eastAsia" w:ascii="宋体" w:hAnsi="宋体" w:eastAsia="宋体" w:cs="宋体"/>
          <w:sz w:val="24"/>
          <w:szCs w:val="24"/>
          <w:highlight w:val="none"/>
        </w:rPr>
        <w:t>申请组织被行政管理部门责令停业整顿的。</w:t>
      </w:r>
      <w:bookmarkEnd w:id="38"/>
      <w:bookmarkEnd w:id="39"/>
      <w:bookmarkEnd w:id="40"/>
      <w:bookmarkEnd w:id="41"/>
      <w:bookmarkEnd w:id="42"/>
    </w:p>
    <w:p>
      <w:pPr>
        <w:widowControl/>
        <w:spacing w:before="72" w:after="72" w:line="560" w:lineRule="exact"/>
        <w:ind w:firstLine="560"/>
        <w:rPr>
          <w:rFonts w:hint="eastAsia" w:ascii="宋体" w:hAnsi="宋体" w:eastAsia="宋体" w:cs="宋体"/>
          <w:sz w:val="24"/>
          <w:szCs w:val="24"/>
          <w:highlight w:val="none"/>
        </w:rPr>
      </w:pPr>
      <w:bookmarkStart w:id="43" w:name="_Toc5352"/>
      <w:bookmarkStart w:id="44" w:name="_Toc6451"/>
      <w:bookmarkStart w:id="45" w:name="_Toc580"/>
      <w:bookmarkStart w:id="46" w:name="_Toc4708"/>
      <w:r>
        <w:rPr>
          <w:rFonts w:hint="eastAsia" w:ascii="宋体" w:hAnsi="宋体" w:eastAsia="宋体" w:cs="宋体"/>
          <w:sz w:val="24"/>
          <w:szCs w:val="24"/>
          <w:highlight w:val="none"/>
          <w:lang w:val="en-US" w:eastAsia="zh-CN"/>
        </w:rPr>
        <w:t>c)</w:t>
      </w:r>
      <w:r>
        <w:rPr>
          <w:rFonts w:hint="eastAsia" w:ascii="宋体" w:hAnsi="宋体" w:eastAsia="宋体" w:cs="宋体"/>
          <w:sz w:val="24"/>
          <w:szCs w:val="24"/>
          <w:highlight w:val="none"/>
        </w:rPr>
        <w:t>申请组织无任何知识产权，经进一步沟通了解申请组织也无创新活动的。</w:t>
      </w:r>
      <w:bookmarkEnd w:id="43"/>
      <w:bookmarkEnd w:id="44"/>
      <w:bookmarkEnd w:id="45"/>
      <w:bookmarkEnd w:id="46"/>
    </w:p>
    <w:p>
      <w:pPr>
        <w:widowControl/>
        <w:spacing w:before="72" w:after="72" w:line="560" w:lineRule="exact"/>
        <w:ind w:firstLine="560"/>
        <w:rPr>
          <w:rFonts w:hint="eastAsia" w:ascii="宋体" w:hAnsi="宋体" w:eastAsia="宋体" w:cs="宋体"/>
          <w:sz w:val="24"/>
          <w:szCs w:val="24"/>
          <w:highlight w:val="none"/>
        </w:rPr>
      </w:pPr>
      <w:bookmarkStart w:id="47" w:name="_Toc15788"/>
      <w:bookmarkStart w:id="48" w:name="_Toc6009"/>
      <w:bookmarkStart w:id="49" w:name="_Toc5182"/>
      <w:bookmarkStart w:id="50" w:name="_Toc13428"/>
      <w:bookmarkStart w:id="51" w:name="_Toc148945631"/>
      <w:r>
        <w:rPr>
          <w:rFonts w:hint="eastAsia" w:ascii="宋体" w:hAnsi="宋体" w:eastAsia="宋体" w:cs="宋体"/>
          <w:sz w:val="24"/>
          <w:szCs w:val="24"/>
          <w:highlight w:val="none"/>
          <w:lang w:val="en-US" w:eastAsia="zh-CN"/>
        </w:rPr>
        <w:t>d)</w:t>
      </w:r>
      <w:r>
        <w:rPr>
          <w:rFonts w:hint="eastAsia" w:ascii="宋体" w:hAnsi="宋体" w:eastAsia="宋体" w:cs="宋体"/>
          <w:sz w:val="24"/>
          <w:szCs w:val="24"/>
          <w:highlight w:val="none"/>
        </w:rPr>
        <w:t>其他违反国家法律法规、行业规定的情形</w:t>
      </w:r>
      <w:bookmarkEnd w:id="47"/>
      <w:bookmarkEnd w:id="48"/>
      <w:bookmarkEnd w:id="49"/>
      <w:bookmarkEnd w:id="50"/>
      <w:bookmarkEnd w:id="51"/>
      <w:r>
        <w:rPr>
          <w:rFonts w:hint="eastAsia" w:ascii="宋体" w:hAnsi="宋体" w:eastAsia="宋体" w:cs="宋体"/>
          <w:sz w:val="24"/>
          <w:szCs w:val="24"/>
          <w:highlight w:val="none"/>
        </w:rPr>
        <w:t>。</w:t>
      </w:r>
    </w:p>
    <w:p>
      <w:pPr>
        <w:spacing w:line="360" w:lineRule="auto"/>
        <w:rPr>
          <w:rFonts w:hint="eastAsia" w:ascii="Arial" w:hAnsi="Arial" w:cs="Arial"/>
          <w:color w:val="000000"/>
          <w:sz w:val="24"/>
          <w:highlight w:val="none"/>
          <w:lang w:val="en-US" w:eastAsia="zh-CN"/>
        </w:rPr>
      </w:pPr>
      <w:r>
        <w:rPr>
          <w:rFonts w:hint="eastAsia" w:ascii="Arial" w:hAnsi="Arial" w:cs="Arial"/>
          <w:color w:val="000000"/>
          <w:sz w:val="24"/>
          <w:highlight w:val="none"/>
          <w:lang w:val="en-US" w:eastAsia="zh-CN"/>
        </w:rPr>
        <w:t>4.3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spacing w:line="360" w:lineRule="auto"/>
        <w:rPr>
          <w:rFonts w:hint="default"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pStyle w:val="2"/>
        <w:spacing w:line="600" w:lineRule="auto"/>
        <w:rPr>
          <w:rFonts w:hint="default" w:ascii="宋体" w:hAnsi="宋体"/>
          <w:color w:val="C00000"/>
          <w:highlight w:val="none"/>
          <w:lang w:val="en-US" w:eastAsia="zh-CN"/>
        </w:rPr>
      </w:pPr>
      <w:bookmarkStart w:id="52" w:name="_Toc3502"/>
      <w:bookmarkStart w:id="53" w:name="_Toc31362"/>
      <w:bookmarkStart w:id="54" w:name="_Toc9070"/>
      <w:bookmarkStart w:id="55" w:name="_Toc32057"/>
      <w:bookmarkStart w:id="56" w:name="_Toc21995"/>
      <w:r>
        <w:rPr>
          <w:rFonts w:hint="eastAsia" w:ascii="宋体" w:hAnsi="宋体"/>
          <w:color w:val="auto"/>
          <w:highlight w:val="none"/>
          <w:lang w:val="en-US" w:eastAsia="zh-CN"/>
        </w:rPr>
        <w:t xml:space="preserve">5 </w:t>
      </w:r>
      <w:bookmarkEnd w:id="52"/>
      <w:bookmarkEnd w:id="53"/>
      <w:bookmarkEnd w:id="54"/>
      <w:r>
        <w:rPr>
          <w:rFonts w:hint="eastAsia" w:ascii="宋体" w:hAnsi="宋体"/>
          <w:color w:val="auto"/>
          <w:highlight w:val="none"/>
          <w:lang w:val="en-US" w:eastAsia="zh-CN"/>
        </w:rPr>
        <w:t>审核方案策划</w:t>
      </w:r>
      <w:bookmarkEnd w:id="55"/>
      <w:bookmarkEnd w:id="56"/>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spacing w:line="360" w:lineRule="auto"/>
        <w:jc w:val="left"/>
        <w:rPr>
          <w:rFonts w:hint="eastAsia" w:ascii="宋体" w:hAnsi="宋体" w:cs="宋体"/>
          <w:color w:val="auto"/>
          <w:kern w:val="0"/>
          <w:sz w:val="24"/>
          <w:highlight w:val="none"/>
          <w:lang w:eastAsia="zh-CN"/>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p>
    <w:p>
      <w:pPr>
        <w:spacing w:line="360" w:lineRule="auto"/>
        <w:rPr>
          <w:color w:val="000000"/>
          <w:sz w:val="24"/>
          <w:highlight w:val="none"/>
        </w:rPr>
      </w:pPr>
    </w:p>
    <w:p>
      <w:pPr>
        <w:pStyle w:val="2"/>
        <w:spacing w:line="360" w:lineRule="auto"/>
        <w:rPr>
          <w:rFonts w:ascii="宋体" w:hAnsi="宋体"/>
          <w:highlight w:val="none"/>
        </w:rPr>
      </w:pPr>
      <w:bookmarkStart w:id="57" w:name="_Toc185325626"/>
      <w:bookmarkStart w:id="58" w:name="_Toc21815"/>
      <w:r>
        <w:rPr>
          <w:rFonts w:hint="eastAsia" w:ascii="宋体" w:hAnsi="宋体"/>
          <w:highlight w:val="none"/>
          <w:lang w:val="en-US" w:eastAsia="zh-CN"/>
        </w:rPr>
        <w:t>6</w:t>
      </w:r>
      <w:r>
        <w:rPr>
          <w:rFonts w:hint="eastAsia" w:ascii="宋体" w:hAnsi="宋体"/>
          <w:highlight w:val="none"/>
        </w:rPr>
        <w:t xml:space="preserve"> 审核实施</w:t>
      </w:r>
      <w:bookmarkEnd w:id="57"/>
      <w:bookmarkEnd w:id="58"/>
    </w:p>
    <w:p>
      <w:pPr>
        <w:bidi w:val="0"/>
        <w:rPr>
          <w:b/>
          <w:bCs/>
          <w:sz w:val="24"/>
          <w:szCs w:val="32"/>
          <w:highlight w:val="none"/>
        </w:rPr>
      </w:pPr>
      <w:bookmarkStart w:id="59" w:name="_Toc444776332"/>
      <w:bookmarkStart w:id="60" w:name="_Toc185325627"/>
      <w:r>
        <w:rPr>
          <w:rFonts w:hint="eastAsia"/>
          <w:b/>
          <w:bCs/>
          <w:sz w:val="24"/>
          <w:szCs w:val="32"/>
          <w:highlight w:val="none"/>
          <w:lang w:val="en-US" w:eastAsia="zh-CN"/>
        </w:rPr>
        <w:t>6</w:t>
      </w:r>
      <w:r>
        <w:rPr>
          <w:rFonts w:hint="eastAsia"/>
          <w:b/>
          <w:bCs/>
          <w:sz w:val="24"/>
          <w:szCs w:val="32"/>
          <w:highlight w:val="none"/>
        </w:rPr>
        <w:t>.1 审核准则</w:t>
      </w:r>
      <w:bookmarkEnd w:id="59"/>
      <w:bookmarkEnd w:id="60"/>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申请认证组织根据需要选择认证依据标准，</w:t>
      </w:r>
      <w:r>
        <w:rPr>
          <w:rFonts w:hint="eastAsia" w:ascii="宋体" w:hAnsi="宋体"/>
          <w:sz w:val="24"/>
          <w:highlight w:val="none"/>
        </w:rPr>
        <w:t>认证双方确认的审核依据标准</w:t>
      </w:r>
      <w:r>
        <w:rPr>
          <w:rFonts w:hint="eastAsia" w:ascii="宋体" w:hAnsi="宋体"/>
          <w:sz w:val="24"/>
          <w:highlight w:val="none"/>
          <w:lang w:val="en-US" w:eastAsia="zh-CN"/>
        </w:rPr>
        <w:t>可以是</w:t>
      </w:r>
      <w:r>
        <w:rPr>
          <w:rFonts w:hint="eastAsia" w:ascii="宋体" w:hAnsi="宋体"/>
          <w:sz w:val="24"/>
          <w:highlight w:val="none"/>
        </w:rPr>
        <w:t>：</w:t>
      </w:r>
    </w:p>
    <w:p>
      <w:pPr>
        <w:spacing w:line="360" w:lineRule="auto"/>
        <w:ind w:firstLine="480" w:firstLineChars="200"/>
        <w:rPr>
          <w:rFonts w:hint="default" w:ascii="宋体" w:hAnsi="宋体"/>
          <w:sz w:val="24"/>
          <w:highlight w:val="none"/>
          <w:lang w:val="en-US" w:eastAsia="zh-CN"/>
        </w:rPr>
      </w:pPr>
      <w:r>
        <w:rPr>
          <w:rFonts w:hint="eastAsia" w:ascii="宋体" w:hAnsi="宋体"/>
          <w:sz w:val="24"/>
          <w:highlight w:val="none"/>
        </w:rPr>
        <w:t>ISO 5600</w:t>
      </w:r>
      <w:r>
        <w:rPr>
          <w:rFonts w:hint="eastAsia" w:ascii="宋体" w:hAnsi="宋体"/>
          <w:sz w:val="24"/>
          <w:highlight w:val="none"/>
          <w:lang w:val="en-US" w:eastAsia="zh-CN"/>
        </w:rPr>
        <w:t>1</w:t>
      </w:r>
      <w:r>
        <w:rPr>
          <w:rFonts w:hint="eastAsia" w:ascii="宋体" w:hAnsi="宋体"/>
          <w:sz w:val="24"/>
          <w:highlight w:val="none"/>
        </w:rPr>
        <w:t>:20</w:t>
      </w:r>
      <w:r>
        <w:rPr>
          <w:rFonts w:hint="eastAsia" w:ascii="宋体" w:hAnsi="宋体"/>
          <w:sz w:val="24"/>
          <w:highlight w:val="none"/>
          <w:lang w:val="en-US" w:eastAsia="zh-CN"/>
        </w:rPr>
        <w:t>24《创新管理体系  要求》或</w:t>
      </w:r>
    </w:p>
    <w:p>
      <w:pPr>
        <w:spacing w:line="360" w:lineRule="auto"/>
        <w:ind w:firstLine="480" w:firstLineChars="200"/>
        <w:rPr>
          <w:rFonts w:hint="eastAsia" w:ascii="宋体" w:hAnsi="宋体" w:eastAsia="宋体"/>
          <w:sz w:val="24"/>
          <w:highlight w:val="none"/>
          <w:lang w:val="en-US" w:eastAsia="zh-CN"/>
        </w:rPr>
      </w:pPr>
      <w:r>
        <w:rPr>
          <w:rFonts w:hint="eastAsia" w:ascii="宋体" w:hAnsi="宋体"/>
          <w:sz w:val="24"/>
          <w:highlight w:val="none"/>
        </w:rPr>
        <w:t>ISO 56002:2019</w:t>
      </w:r>
      <w:r>
        <w:rPr>
          <w:rFonts w:hint="eastAsia" w:ascii="宋体" w:hAnsi="宋体"/>
          <w:sz w:val="24"/>
          <w:highlight w:val="none"/>
          <w:lang w:val="en-US" w:eastAsia="zh-CN"/>
        </w:rPr>
        <w:t xml:space="preserve"> </w:t>
      </w:r>
      <w:r>
        <w:rPr>
          <w:rFonts w:hint="eastAsia" w:ascii="宋体" w:hAnsi="宋体"/>
          <w:sz w:val="24"/>
          <w:highlight w:val="none"/>
          <w:lang w:eastAsia="zh-CN"/>
        </w:rPr>
        <w:t>《</w:t>
      </w:r>
      <w:r>
        <w:rPr>
          <w:rFonts w:ascii="宋体" w:hAnsi="宋体" w:eastAsia="宋体" w:cs="宋体"/>
          <w:sz w:val="24"/>
          <w:szCs w:val="24"/>
          <w:highlight w:val="none"/>
        </w:rPr>
        <w:t>创新管理–创新管理体系指南</w:t>
      </w:r>
      <w:r>
        <w:rPr>
          <w:rFonts w:hint="eastAsia" w:ascii="宋体" w:hAnsi="宋体"/>
          <w:sz w:val="24"/>
          <w:highlight w:val="none"/>
          <w:lang w:eastAsia="zh-CN"/>
        </w:rPr>
        <w:t>》</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审核准则还包括受审核方所适用的方针、程序、标准、法律法规、创新管理体系相关要求、合同要求或行业规范。</w:t>
      </w:r>
    </w:p>
    <w:p>
      <w:pPr>
        <w:bidi w:val="0"/>
        <w:rPr>
          <w:rFonts w:hint="eastAsia" w:ascii="Times New Roman" w:hAnsi="Times New Roman" w:eastAsia="宋体" w:cs="Times New Roman"/>
          <w:b/>
          <w:bCs/>
          <w:sz w:val="24"/>
          <w:szCs w:val="32"/>
          <w:highlight w:val="none"/>
          <w:lang w:val="en-GB" w:eastAsia="zh-CN"/>
        </w:rPr>
      </w:pPr>
      <w:bookmarkStart w:id="61" w:name="_Toc444776333"/>
      <w:bookmarkStart w:id="62" w:name="_Toc185325628"/>
      <w:r>
        <w:rPr>
          <w:rFonts w:hint="eastAsia" w:ascii="Times New Roman" w:hAnsi="Times New Roman" w:eastAsia="宋体" w:cs="Times New Roman"/>
          <w:b/>
          <w:bCs/>
          <w:sz w:val="24"/>
          <w:szCs w:val="32"/>
          <w:highlight w:val="none"/>
          <w:lang w:val="en-US" w:eastAsia="zh-CN"/>
        </w:rPr>
        <w:t>6.2 审核过程</w:t>
      </w:r>
      <w:bookmarkEnd w:id="61"/>
      <w:bookmarkEnd w:id="62"/>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ascii="宋体" w:hAnsi="宋体"/>
          <w:sz w:val="24"/>
          <w:highlight w:val="none"/>
        </w:rPr>
      </w:pPr>
      <w:r>
        <w:rPr>
          <w:rFonts w:hint="eastAsia" w:ascii="宋体" w:hAnsi="宋体"/>
          <w:sz w:val="24"/>
          <w:highlight w:val="none"/>
        </w:rPr>
        <w:t>第一阶段审核的目的是了解受审核方的基本信息、审核管理体系文件，识别任何引起关注的、在第二阶段审核中可能被判定为不符合的问题，为第二阶段审核提供关注点。</w:t>
      </w:r>
    </w:p>
    <w:p>
      <w:pPr>
        <w:spacing w:line="360" w:lineRule="auto"/>
        <w:ind w:firstLine="480" w:firstLineChars="200"/>
        <w:jc w:val="left"/>
        <w:rPr>
          <w:rFonts w:ascii="宋体" w:hAnsi="宋体"/>
          <w:sz w:val="24"/>
          <w:highlight w:val="none"/>
        </w:rPr>
      </w:pPr>
      <w:r>
        <w:rPr>
          <w:rFonts w:hint="eastAsia" w:ascii="宋体" w:hAnsi="宋体"/>
          <w:sz w:val="24"/>
          <w:highlight w:val="none"/>
        </w:rPr>
        <w:t>第二阶段审核的目的是评价受审核方管理体系实施的符合性和有效性。</w:t>
      </w:r>
    </w:p>
    <w:p>
      <w:pPr>
        <w:spacing w:line="360" w:lineRule="auto"/>
        <w:ind w:firstLine="480" w:firstLineChars="200"/>
        <w:jc w:val="left"/>
        <w:rPr>
          <w:rFonts w:ascii="宋体" w:hAnsi="宋体"/>
          <w:color w:val="FF0000"/>
          <w:sz w:val="24"/>
          <w:highlight w:val="none"/>
        </w:rPr>
      </w:pPr>
      <w:r>
        <w:rPr>
          <w:rFonts w:hint="eastAsia" w:ascii="宋体" w:hAnsi="宋体"/>
          <w:sz w:val="24"/>
          <w:highlight w:val="none"/>
        </w:rPr>
        <w:t>审核组对在第一阶段和第二阶段审核中收集的所有信息和证据进行分析，以形成审核结论。</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的具体情况、内部审核与管理评审策划和实施情况，确认受审核方对标准的理解和实施的程度、对目标的实现具有重要影响的关键点、相关的法律法规要求的遵守情况以及管理体系范围，以确定第二阶段审核安排。</w:t>
      </w:r>
    </w:p>
    <w:p>
      <w:pPr>
        <w:pStyle w:val="5"/>
        <w:spacing w:line="360" w:lineRule="auto"/>
        <w:ind w:left="900" w:hanging="480"/>
        <w:rPr>
          <w:rFonts w:hAnsi="宋体"/>
          <w:sz w:val="24"/>
          <w:szCs w:val="24"/>
          <w:highlight w:val="none"/>
        </w:rPr>
      </w:pPr>
      <w:r>
        <w:rPr>
          <w:rFonts w:hint="eastAsia" w:hAnsi="宋体"/>
          <w:sz w:val="24"/>
          <w:szCs w:val="24"/>
          <w:highlight w:val="none"/>
        </w:rPr>
        <w:t>第一阶段审核应侧重于组织的策划过程，审核的主要内容为：</w:t>
      </w:r>
    </w:p>
    <w:p>
      <w:pPr>
        <w:numPr>
          <w:ilvl w:val="0"/>
          <w:numId w:val="2"/>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确认申请组织实际情况与创新管理体系文件描述的一致性，特别是体系文件中描述的产品和服务、部门设置和职责与权限、生产/服务/运营过程等是否与申请组织的实际情况相一致；</w:t>
      </w:r>
    </w:p>
    <w:p>
      <w:pPr>
        <w:numPr>
          <w:ilvl w:val="0"/>
          <w:numId w:val="2"/>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审核申请组织理解和实施相关审核准则要求的情况，评价创新管理体系运行过程中是否实施了内部审核与管理评审，确认创新管理体系是否已运行并且超过3个月；</w:t>
      </w:r>
    </w:p>
    <w:p>
      <w:pPr>
        <w:numPr>
          <w:ilvl w:val="0"/>
          <w:numId w:val="2"/>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确认申请组织建立的创新管理体系覆盖的活动内容和范围、体系覆盖范围内有效人数、过程和场所，遵守适用的法律法规及强制性标准的情况；</w:t>
      </w:r>
    </w:p>
    <w:p>
      <w:pPr>
        <w:numPr>
          <w:ilvl w:val="0"/>
          <w:numId w:val="2"/>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结合创新管理体系覆盖产品和服务的特点识别对创新管理目标的实现具有重要影响的关键点，并结合其他因素，科学确定重要审核点；</w:t>
      </w:r>
    </w:p>
    <w:p>
      <w:pPr>
        <w:numPr>
          <w:ilvl w:val="0"/>
          <w:numId w:val="2"/>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与申请组织讨论确定第二阶段审核安排。对创新管理体系文件不符合实际情况、相关体系运行尚未超过3个月或者无法证明超过3个月的，以及其他不具备二阶段审核条件的，不应实施二阶段审核。</w:t>
      </w:r>
    </w:p>
    <w:p>
      <w:pPr>
        <w:spacing w:line="360" w:lineRule="auto"/>
        <w:ind w:firstLine="480" w:firstLineChars="200"/>
        <w:rPr>
          <w:rFonts w:ascii="宋体" w:hAnsi="宋体"/>
          <w:kern w:val="0"/>
          <w:sz w:val="24"/>
          <w:highlight w:val="none"/>
        </w:rPr>
      </w:pPr>
      <w:r>
        <w:rPr>
          <w:rFonts w:hint="eastAsia" w:ascii="宋体" w:hAnsi="宋体"/>
          <w:kern w:val="0"/>
          <w:sz w:val="24"/>
          <w:highlight w:val="none"/>
        </w:rPr>
        <w:t>第一阶段审核实施后，</w:t>
      </w:r>
      <w:r>
        <w:rPr>
          <w:rFonts w:hint="eastAsia" w:ascii="宋体" w:hAnsi="宋体"/>
          <w:sz w:val="24"/>
          <w:highlight w:val="none"/>
        </w:rPr>
        <w:t>审核组在第一阶段审核提出的需要申请组织进行整改的问题已得到有效整改，并经审核组验证合格</w:t>
      </w:r>
      <w:r>
        <w:rPr>
          <w:rFonts w:hint="eastAsia" w:ascii="宋体" w:hAnsi="宋体"/>
          <w:kern w:val="0"/>
          <w:sz w:val="24"/>
          <w:highlight w:val="none"/>
        </w:rPr>
        <w:t>后可进入第二阶段审核。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3"/>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一阶段审核中识别的重要审核</w:t>
      </w:r>
      <w:r>
        <w:rPr>
          <w:rFonts w:hint="eastAsia" w:ascii="宋体" w:hAnsi="宋体" w:cs="宋体"/>
          <w:color w:val="000000"/>
          <w:sz w:val="24"/>
          <w:highlight w:val="none"/>
          <w:lang w:val="en-US" w:eastAsia="zh-CN"/>
        </w:rPr>
        <w:t>关注</w:t>
      </w:r>
      <w:r>
        <w:rPr>
          <w:rFonts w:hint="eastAsia" w:ascii="宋体" w:hAnsi="宋体" w:cs="宋体"/>
          <w:color w:val="000000"/>
          <w:sz w:val="24"/>
          <w:highlight w:val="none"/>
        </w:rPr>
        <w:t>点的过程控制的有效性；</w:t>
      </w:r>
    </w:p>
    <w:p>
      <w:pPr>
        <w:numPr>
          <w:ilvl w:val="0"/>
          <w:numId w:val="3"/>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受审核方管理体系文件化信息与认证准则符合情况；</w:t>
      </w:r>
    </w:p>
    <w:p>
      <w:pPr>
        <w:numPr>
          <w:ilvl w:val="0"/>
          <w:numId w:val="3"/>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管理职责的落实，包括针对方针的管理职责；</w:t>
      </w:r>
    </w:p>
    <w:p>
      <w:pPr>
        <w:numPr>
          <w:ilvl w:val="0"/>
          <w:numId w:val="3"/>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目标完成情况；依据关键绩效目标和指标，对绩效进行的监视、测量、报告和评审；</w:t>
      </w:r>
    </w:p>
    <w:p>
      <w:pPr>
        <w:numPr>
          <w:ilvl w:val="0"/>
          <w:numId w:val="3"/>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组织管理的有效性；</w:t>
      </w:r>
    </w:p>
    <w:p>
      <w:pPr>
        <w:numPr>
          <w:ilvl w:val="0"/>
          <w:numId w:val="3"/>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管理体系和绩效中与遵守法律有关的方面；</w:t>
      </w:r>
    </w:p>
    <w:p>
      <w:pPr>
        <w:numPr>
          <w:ilvl w:val="0"/>
          <w:numId w:val="3"/>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内部审核和管理评审实施情况。</w:t>
      </w:r>
    </w:p>
    <w:p>
      <w:pPr>
        <w:spacing w:line="360" w:lineRule="auto"/>
        <w:ind w:firstLine="480" w:firstLineChars="200"/>
        <w:jc w:val="left"/>
        <w:rPr>
          <w:rFonts w:ascii="宋体" w:hAnsi="宋体"/>
          <w:color w:val="000000"/>
          <w:sz w:val="24"/>
          <w:highlight w:val="none"/>
        </w:rPr>
      </w:pPr>
      <w:r>
        <w:rPr>
          <w:rFonts w:hint="eastAsia" w:hAnsi="宋体"/>
          <w:bCs/>
          <w:color w:val="000000"/>
          <w:sz w:val="24"/>
          <w:highlight w:val="none"/>
        </w:rPr>
        <w:t>如果认证客户不能在初次认证第二阶段结束后的规定时间内（通常情况下为一个月）按要求关闭不符合，CQM将</w:t>
      </w:r>
      <w:r>
        <w:rPr>
          <w:rFonts w:hint="eastAsia" w:hAnsi="宋体"/>
          <w:color w:val="000000"/>
          <w:sz w:val="24"/>
          <w:highlight w:val="none"/>
        </w:rPr>
        <w:t>再实施一次第二阶段审核或不批准认证。</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ascii="宋体" w:hAnsi="宋体"/>
          <w:bCs/>
          <w:sz w:val="24"/>
          <w:highlight w:val="none"/>
        </w:rPr>
      </w:pPr>
      <w:bookmarkStart w:id="63" w:name="_Toc85103642"/>
      <w:bookmarkStart w:id="64" w:name="_Toc85256268"/>
      <w:bookmarkStart w:id="65" w:name="_Toc85105532"/>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bookmarkEnd w:id="63"/>
      <w:bookmarkEnd w:id="64"/>
      <w:bookmarkEnd w:id="65"/>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ascii="宋体" w:hAnsi="宋体"/>
          <w:bCs/>
          <w:sz w:val="24"/>
          <w:highlight w:val="none"/>
        </w:rPr>
      </w:pPr>
      <w:bookmarkStart w:id="66" w:name="_Toc85256266"/>
      <w:bookmarkStart w:id="67" w:name="_Toc85103640"/>
      <w:bookmarkStart w:id="68" w:name="_Toc85105530"/>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bookmarkEnd w:id="66"/>
      <w:bookmarkEnd w:id="67"/>
      <w:bookmarkEnd w:id="68"/>
    </w:p>
    <w:p>
      <w:pPr>
        <w:numPr>
          <w:ilvl w:val="0"/>
          <w:numId w:val="4"/>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自上次审核以来与组织创新管理体系有关的重要变更；</w:t>
      </w:r>
    </w:p>
    <w:p>
      <w:pPr>
        <w:numPr>
          <w:ilvl w:val="0"/>
          <w:numId w:val="4"/>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创新活动运行控制；</w:t>
      </w:r>
    </w:p>
    <w:p>
      <w:pPr>
        <w:numPr>
          <w:ilvl w:val="0"/>
          <w:numId w:val="4"/>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对上次审核中发现的不符合项采取措施的有效性的验证；</w:t>
      </w:r>
    </w:p>
    <w:p>
      <w:pPr>
        <w:numPr>
          <w:ilvl w:val="0"/>
          <w:numId w:val="4"/>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适用的法律法规持续符合情况；</w:t>
      </w:r>
    </w:p>
    <w:p>
      <w:pPr>
        <w:numPr>
          <w:ilvl w:val="0"/>
          <w:numId w:val="4"/>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组织战略与目标实现情况与趋势；</w:t>
      </w:r>
    </w:p>
    <w:p>
      <w:pPr>
        <w:numPr>
          <w:ilvl w:val="0"/>
          <w:numId w:val="4"/>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认证证书与标志的使用或对认证资格的引用；</w:t>
      </w:r>
    </w:p>
    <w:p>
      <w:pPr>
        <w:numPr>
          <w:ilvl w:val="0"/>
          <w:numId w:val="4"/>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内部审核与管理评审；</w:t>
      </w:r>
    </w:p>
    <w:p>
      <w:pPr>
        <w:numPr>
          <w:ilvl w:val="0"/>
          <w:numId w:val="4"/>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针对创新管理体系运行中发现的问题或投诉，制定并实施了有效的改进措施。</w:t>
      </w:r>
    </w:p>
    <w:p>
      <w:pPr>
        <w:numPr>
          <w:ilvl w:val="0"/>
          <w:numId w:val="4"/>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获证客户应保存全部投诉记录，需要时提供认证机构。</w:t>
      </w:r>
    </w:p>
    <w:p>
      <w:pPr>
        <w:pStyle w:val="8"/>
        <w:spacing w:line="360" w:lineRule="auto"/>
        <w:ind w:firstLine="480"/>
        <w:rPr>
          <w:sz w:val="24"/>
          <w:szCs w:val="24"/>
          <w:highlight w:val="none"/>
        </w:rPr>
      </w:pPr>
      <w:r>
        <w:rPr>
          <w:rFonts w:hint="eastAsia"/>
          <w:sz w:val="24"/>
          <w:szCs w:val="24"/>
          <w:highlight w:val="none"/>
        </w:rPr>
        <w:t>CQM根据以上</w:t>
      </w:r>
      <w:bookmarkStart w:id="69" w:name="_Toc33599725"/>
      <w:bookmarkStart w:id="70" w:name="_Toc33600388"/>
      <w:bookmarkStart w:id="71" w:name="_Toc33599598"/>
      <w:bookmarkStart w:id="72" w:name="_Toc33600432"/>
      <w:r>
        <w:rPr>
          <w:rFonts w:hint="eastAsia"/>
          <w:sz w:val="24"/>
          <w:szCs w:val="24"/>
          <w:highlight w:val="none"/>
        </w:rPr>
        <w:t>信息对获证客户管理体系进行再评价，确认其是否持续满足认证要求。</w:t>
      </w:r>
    </w:p>
    <w:p>
      <w:pPr>
        <w:pStyle w:val="8"/>
        <w:spacing w:line="360" w:lineRule="auto"/>
        <w:ind w:firstLine="480"/>
        <w:rPr>
          <w:sz w:val="24"/>
          <w:szCs w:val="24"/>
          <w:highlight w:val="none"/>
        </w:rPr>
      </w:pPr>
      <w:r>
        <w:rPr>
          <w:rFonts w:hint="eastAsia"/>
          <w:sz w:val="24"/>
          <w:szCs w:val="24"/>
          <w:highlight w:val="none"/>
        </w:rPr>
        <w:t>监督审核时，如认证客户没有按时关闭不符合，将可能导致认证证书的暂停或撤销。</w:t>
      </w:r>
    </w:p>
    <w:p>
      <w:pPr>
        <w:spacing w:line="360" w:lineRule="auto"/>
        <w:rPr>
          <w:rFonts w:ascii="宋体" w:hAnsi="宋体"/>
          <w:bCs/>
          <w:sz w:val="24"/>
          <w:highlight w:val="none"/>
        </w:rPr>
      </w:pPr>
      <w:bookmarkStart w:id="73" w:name="_Toc85256267"/>
      <w:bookmarkStart w:id="74" w:name="_Toc85103641"/>
      <w:bookmarkStart w:id="75" w:name="_Toc85105531"/>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bookmarkEnd w:id="69"/>
      <w:bookmarkEnd w:id="70"/>
      <w:bookmarkEnd w:id="71"/>
      <w:bookmarkEnd w:id="72"/>
      <w:bookmarkEnd w:id="73"/>
      <w:bookmarkEnd w:id="74"/>
      <w:bookmarkEnd w:id="75"/>
    </w:p>
    <w:p>
      <w:pPr>
        <w:widowControl/>
        <w:spacing w:line="360" w:lineRule="auto"/>
        <w:jc w:val="left"/>
        <w:rPr>
          <w:rFonts w:ascii="宋体" w:hAnsi="宋体" w:cs="宋体"/>
          <w:kern w:val="0"/>
          <w:sz w:val="24"/>
          <w:highlight w:val="none"/>
        </w:rPr>
      </w:pPr>
      <w:r>
        <w:rPr>
          <w:rFonts w:hint="eastAsia" w:ascii="宋体" w:hAnsi="宋体"/>
          <w:sz w:val="24"/>
          <w:highlight w:val="none"/>
        </w:rPr>
        <w:t xml:space="preserve">    在证书有效期内，获证客户须接受监督审核。初次认证/再认证后的第一次监督审核应在认证决定日期起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spacing w:line="360" w:lineRule="auto"/>
        <w:ind w:left="-2" w:leftChars="-1" w:firstLine="480" w:firstLineChars="200"/>
        <w:rPr>
          <w:rFonts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5"/>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获证客户对管理体系进行了重大更改；</w:t>
      </w:r>
    </w:p>
    <w:p>
      <w:pPr>
        <w:numPr>
          <w:ilvl w:val="0"/>
          <w:numId w:val="5"/>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有足够信息表明获证客户发生了组织机构等影响到其认证基础的更改；</w:t>
      </w:r>
    </w:p>
    <w:p>
      <w:pPr>
        <w:numPr>
          <w:ilvl w:val="0"/>
          <w:numId w:val="5"/>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获证客户出现</w:t>
      </w:r>
      <w:r>
        <w:rPr>
          <w:rFonts w:hint="eastAsia" w:ascii="宋体" w:hAnsi="宋体" w:cs="宋体"/>
          <w:color w:val="000000"/>
          <w:sz w:val="24"/>
          <w:highlight w:val="none"/>
          <w:lang w:val="en-US" w:eastAsia="zh-CN"/>
        </w:rPr>
        <w:t>与</w:t>
      </w:r>
      <w:r>
        <w:rPr>
          <w:rFonts w:hint="eastAsia" w:ascii="宋体" w:hAnsi="宋体" w:cs="宋体"/>
          <w:color w:val="000000"/>
          <w:sz w:val="24"/>
          <w:highlight w:val="none"/>
        </w:rPr>
        <w:t>创新</w:t>
      </w:r>
      <w:r>
        <w:rPr>
          <w:rFonts w:hint="eastAsia" w:ascii="宋体" w:hAnsi="宋体" w:cs="宋体"/>
          <w:color w:val="000000"/>
          <w:sz w:val="24"/>
          <w:highlight w:val="none"/>
          <w:lang w:val="en-US" w:eastAsia="zh-CN"/>
        </w:rPr>
        <w:t>或知识产权</w:t>
      </w:r>
      <w:r>
        <w:rPr>
          <w:rFonts w:hint="eastAsia" w:ascii="宋体" w:hAnsi="宋体" w:cs="宋体"/>
          <w:color w:val="000000"/>
          <w:sz w:val="24"/>
          <w:highlight w:val="none"/>
        </w:rPr>
        <w:t>重大</w:t>
      </w:r>
      <w:r>
        <w:rPr>
          <w:rFonts w:hint="eastAsia" w:ascii="宋体" w:hAnsi="宋体" w:cs="宋体"/>
          <w:color w:val="000000"/>
          <w:sz w:val="24"/>
          <w:highlight w:val="none"/>
          <w:lang w:val="en-US" w:eastAsia="zh-CN"/>
        </w:rPr>
        <w:t>诉讼案件</w:t>
      </w:r>
      <w:r>
        <w:rPr>
          <w:rFonts w:hint="eastAsia" w:ascii="宋体" w:hAnsi="宋体" w:cs="宋体"/>
          <w:color w:val="000000"/>
          <w:sz w:val="24"/>
          <w:highlight w:val="none"/>
        </w:rPr>
        <w:t>未得到处理时；</w:t>
      </w:r>
    </w:p>
    <w:p>
      <w:pPr>
        <w:numPr>
          <w:ilvl w:val="0"/>
          <w:numId w:val="5"/>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lang w:val="en-GB"/>
        </w:rPr>
        <w:t>获证客户</w:t>
      </w:r>
      <w:r>
        <w:rPr>
          <w:rFonts w:hint="eastAsia" w:ascii="宋体" w:hAnsi="宋体" w:cs="宋体"/>
          <w:color w:val="000000"/>
          <w:sz w:val="24"/>
          <w:highlight w:val="none"/>
          <w:lang w:val="en-US" w:eastAsia="zh-CN"/>
        </w:rPr>
        <w:t>管理体系</w:t>
      </w:r>
      <w:r>
        <w:rPr>
          <w:rFonts w:hint="eastAsia" w:ascii="宋体" w:hAnsi="宋体" w:cs="宋体"/>
          <w:color w:val="000000"/>
          <w:sz w:val="24"/>
          <w:highlight w:val="none"/>
          <w:lang w:val="en-GB"/>
        </w:rPr>
        <w:t>被国家</w:t>
      </w:r>
      <w:r>
        <w:rPr>
          <w:rFonts w:hint="eastAsia" w:ascii="宋体" w:hAnsi="宋体" w:cs="宋体"/>
          <w:color w:val="000000"/>
          <w:sz w:val="24"/>
          <w:highlight w:val="none"/>
          <w:lang w:val="en-US" w:eastAsia="zh-CN"/>
        </w:rPr>
        <w:t>认证</w:t>
      </w:r>
      <w:r>
        <w:rPr>
          <w:rFonts w:hint="eastAsia" w:ascii="宋体" w:hAnsi="宋体" w:cs="宋体"/>
          <w:color w:val="000000"/>
          <w:sz w:val="24"/>
          <w:highlight w:val="none"/>
          <w:lang w:val="en-GB"/>
        </w:rPr>
        <w:t>主管部门在监督抽查中被查出不合格时</w:t>
      </w:r>
      <w:r>
        <w:rPr>
          <w:rFonts w:hint="eastAsia" w:ascii="宋体" w:hAnsi="宋体" w:cs="宋体"/>
          <w:color w:val="000000"/>
          <w:sz w:val="24"/>
          <w:highlight w:val="none"/>
        </w:rPr>
        <w:t>；</w:t>
      </w:r>
    </w:p>
    <w:p>
      <w:pPr>
        <w:numPr>
          <w:ilvl w:val="0"/>
          <w:numId w:val="5"/>
        </w:numPr>
        <w:spacing w:line="360" w:lineRule="auto"/>
        <w:ind w:left="840" w:hanging="400"/>
        <w:rPr>
          <w:rFonts w:ascii="宋体" w:hAnsi="宋体" w:cs="宋体"/>
          <w:color w:val="000000"/>
          <w:sz w:val="24"/>
          <w:highlight w:val="none"/>
        </w:rPr>
      </w:pPr>
      <w:r>
        <w:rPr>
          <w:rFonts w:hint="eastAsia" w:ascii="宋体" w:hAnsi="宋体" w:cs="宋体"/>
          <w:color w:val="000000"/>
          <w:sz w:val="24"/>
          <w:highlight w:val="none"/>
        </w:rPr>
        <w:t>其他需要考虑的情况。</w:t>
      </w:r>
      <w:bookmarkStart w:id="76" w:name="_Toc33599599"/>
      <w:bookmarkStart w:id="77" w:name="_Toc33600433"/>
      <w:bookmarkStart w:id="78" w:name="_Toc33600389"/>
      <w:bookmarkStart w:id="79" w:name="_Toc33599726"/>
    </w:p>
    <w:bookmarkEnd w:id="76"/>
    <w:bookmarkEnd w:id="77"/>
    <w:bookmarkEnd w:id="78"/>
    <w:bookmarkEnd w:id="79"/>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8"/>
        <w:spacing w:line="360" w:lineRule="auto"/>
        <w:ind w:firstLine="480"/>
        <w:rPr>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w:t>
      </w:r>
      <w:r>
        <w:rPr>
          <w:rFonts w:hint="eastAsia"/>
          <w:color w:val="auto"/>
          <w:sz w:val="24"/>
          <w:szCs w:val="24"/>
          <w:highlight w:val="none"/>
          <w:lang w:val="en-US" w:eastAsia="zh-CN"/>
        </w:rPr>
        <w:t>6</w:t>
      </w:r>
      <w:r>
        <w:rPr>
          <w:rFonts w:hint="eastAsia"/>
          <w:color w:val="auto"/>
          <w:sz w:val="24"/>
          <w:szCs w:val="24"/>
          <w:highlight w:val="none"/>
        </w:rPr>
        <w:t>.2.1条实施。</w:t>
      </w:r>
      <w:r>
        <w:rPr>
          <w:rFonts w:hint="eastAsia"/>
          <w:sz w:val="24"/>
          <w:highlight w:val="none"/>
        </w:rPr>
        <w:t>再认证时通常可不进行一阶段审核，但当获证客户的管理体系和获证客户的内外部运作环境有重大变化时，再认证审核活动可能需要有第一阶段审核。</w:t>
      </w:r>
    </w:p>
    <w:p>
      <w:pPr>
        <w:pStyle w:val="8"/>
        <w:spacing w:line="360" w:lineRule="auto"/>
        <w:ind w:firstLine="480"/>
        <w:rPr>
          <w:color w:val="auto"/>
          <w:sz w:val="24"/>
          <w:szCs w:val="24"/>
          <w:highlight w:val="none"/>
        </w:rPr>
      </w:pPr>
      <w:r>
        <w:rPr>
          <w:rFonts w:hint="eastAsia"/>
          <w:color w:val="auto"/>
          <w:sz w:val="24"/>
          <w:szCs w:val="24"/>
          <w:highlight w:val="none"/>
        </w:rPr>
        <w:t>在对获证客户的日常监督中，发现获证客户的出现影响管理体系运作的重大变更时，或对获证客户的投诉分析和其他信息表明获证客户管理体系可能存在较大问题时，将安排特殊审核或与获证客户商定提前安排再认证审核。</w:t>
      </w:r>
    </w:p>
    <w:p>
      <w:pPr>
        <w:spacing w:line="360" w:lineRule="auto"/>
        <w:ind w:firstLine="480" w:firstLineChars="200"/>
        <w:rPr>
          <w:rFonts w:ascii="宋体" w:hAnsi="宋体"/>
          <w:bCs/>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应至少进行一次第二阶段才能恢复认证。</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8"/>
        <w:spacing w:line="360" w:lineRule="auto"/>
        <w:ind w:firstLine="480"/>
        <w:rPr>
          <w:sz w:val="24"/>
          <w:szCs w:val="24"/>
          <w:highlight w:val="none"/>
          <w:lang w:val="en-GB"/>
        </w:rPr>
      </w:pPr>
      <w:r>
        <w:rPr>
          <w:rFonts w:hint="eastAsia"/>
          <w:sz w:val="24"/>
          <w:szCs w:val="24"/>
          <w:highlight w:val="none"/>
          <w:lang w:val="en-GB"/>
        </w:rPr>
        <w:t>针对已获证的客户，CQM对扩大认证范围的申请进行评审，确定能否予以扩大的决定所需的审核活动，这一工作可与监督审核同时进行。</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highlight w:val="none"/>
          <w:lang w:val="en-GB"/>
        </w:rPr>
      </w:pPr>
      <w:r>
        <w:rPr>
          <w:rFonts w:hint="eastAsia"/>
          <w:sz w:val="24"/>
          <w:highlight w:val="none"/>
          <w:lang w:val="en-GB"/>
        </w:rPr>
        <w:t>为调查投诉、对变更做出回应或对被暂停的获证客户进行追踪，需要在提前较短时间通知获证客户后对其进行的审核。</w:t>
      </w:r>
    </w:p>
    <w:p>
      <w:pPr>
        <w:spacing w:line="360" w:lineRule="auto"/>
        <w:ind w:firstLine="480" w:firstLineChars="200"/>
        <w:rPr>
          <w:highlight w:val="none"/>
          <w:lang w:val="en-GB"/>
        </w:rPr>
      </w:pPr>
      <w:r>
        <w:rPr>
          <w:rFonts w:hint="eastAsia"/>
          <w:sz w:val="24"/>
          <w:highlight w:val="none"/>
          <w:lang w:val="en-GB"/>
        </w:rPr>
        <w:t>获证客户的</w:t>
      </w:r>
      <w:r>
        <w:rPr>
          <w:rFonts w:hint="eastAsia"/>
          <w:sz w:val="24"/>
          <w:highlight w:val="none"/>
          <w:lang w:val="en-US" w:eastAsia="zh-CN"/>
        </w:rPr>
        <w:t>管理体系</w:t>
      </w:r>
      <w:r>
        <w:rPr>
          <w:rFonts w:hint="eastAsia"/>
          <w:sz w:val="24"/>
          <w:highlight w:val="none"/>
          <w:lang w:val="en-GB"/>
        </w:rPr>
        <w:t>被国家</w:t>
      </w:r>
      <w:r>
        <w:rPr>
          <w:rFonts w:hint="eastAsia"/>
          <w:sz w:val="24"/>
          <w:highlight w:val="none"/>
          <w:lang w:val="en-US" w:eastAsia="zh-CN"/>
        </w:rPr>
        <w:t>认证</w:t>
      </w:r>
      <w:r>
        <w:rPr>
          <w:rFonts w:hint="eastAsia"/>
          <w:sz w:val="24"/>
          <w:highlight w:val="none"/>
          <w:lang w:val="en-GB"/>
        </w:rPr>
        <w:t>主管部门在监督抽查中被查出不合格时，CQM将对获证客户实施特殊审核。如获证客户不接受特殊审核，认证证书将被暂停。</w:t>
      </w:r>
    </w:p>
    <w:p>
      <w:pPr>
        <w:bidi w:val="0"/>
        <w:rPr>
          <w:rFonts w:hint="eastAsia" w:ascii="Times New Roman" w:hAnsi="Times New Roman" w:eastAsia="宋体" w:cs="Times New Roman"/>
          <w:b/>
          <w:bCs/>
          <w:sz w:val="24"/>
          <w:szCs w:val="32"/>
          <w:highlight w:val="none"/>
          <w:lang w:val="en-US" w:eastAsia="zh-CN"/>
        </w:rPr>
      </w:pPr>
      <w:bookmarkStart w:id="80" w:name="_Toc444776334"/>
      <w:bookmarkStart w:id="81" w:name="_Toc185325629"/>
      <w:r>
        <w:rPr>
          <w:rFonts w:hint="eastAsia" w:ascii="Times New Roman" w:hAnsi="Times New Roman" w:eastAsia="宋体" w:cs="Times New Roman"/>
          <w:b/>
          <w:bCs/>
          <w:sz w:val="24"/>
          <w:szCs w:val="32"/>
          <w:highlight w:val="none"/>
          <w:lang w:val="en-US" w:eastAsia="zh-CN"/>
        </w:rPr>
        <w:t>6.3 现场审核活动实施</w:t>
      </w:r>
      <w:bookmarkEnd w:id="80"/>
      <w:bookmarkEnd w:id="81"/>
    </w:p>
    <w:p>
      <w:pPr>
        <w:spacing w:line="360" w:lineRule="auto"/>
        <w:ind w:firstLine="480"/>
        <w:jc w:val="left"/>
        <w:rPr>
          <w:rFonts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w:t>
      </w:r>
      <w:r>
        <w:rPr>
          <w:rFonts w:hint="eastAsia" w:ascii="宋体" w:hAnsi="宋体"/>
          <w:sz w:val="24"/>
          <w:highlight w:val="none"/>
          <w:lang w:val="en-US" w:eastAsia="zh-CN"/>
        </w:rPr>
        <w:t>创新管理工具应用</w:t>
      </w:r>
      <w:r>
        <w:rPr>
          <w:rFonts w:hint="eastAsia" w:ascii="宋体" w:hAnsi="宋体"/>
          <w:sz w:val="24"/>
          <w:highlight w:val="none"/>
        </w:rPr>
        <w:t>等适当方法，抽样收集并验证有关的信息，形成审核发现，确认不符合情况。</w:t>
      </w:r>
    </w:p>
    <w:p>
      <w:pPr>
        <w:spacing w:line="360" w:lineRule="auto"/>
        <w:ind w:firstLine="480"/>
        <w:jc w:val="left"/>
        <w:rPr>
          <w:rFonts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82" w:name="_Toc477"/>
      <w:bookmarkStart w:id="83" w:name="_Toc30792"/>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82"/>
      <w:bookmarkEnd w:id="83"/>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84" w:name="_Toc3969"/>
      <w:bookmarkStart w:id="85" w:name="_Toc18681"/>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84"/>
      <w:bookmarkEnd w:id="85"/>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86" w:name="_Toc26221"/>
      <w:bookmarkStart w:id="87" w:name="_Toc1001"/>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86"/>
      <w:bookmarkEnd w:id="87"/>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ind w:firstLine="0"/>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spacing w:line="360" w:lineRule="auto"/>
        <w:jc w:val="left"/>
        <w:rPr>
          <w:rFonts w:ascii="宋体" w:hAnsi="宋体"/>
          <w:sz w:val="24"/>
          <w:highlight w:val="none"/>
        </w:rPr>
      </w:pPr>
    </w:p>
    <w:p>
      <w:pPr>
        <w:pStyle w:val="2"/>
        <w:spacing w:line="360" w:lineRule="auto"/>
        <w:rPr>
          <w:color w:val="000000"/>
          <w:highlight w:val="none"/>
        </w:rPr>
      </w:pPr>
      <w:bookmarkStart w:id="88" w:name="_Toc85256251"/>
      <w:bookmarkStart w:id="89" w:name="_Toc85103626"/>
      <w:bookmarkStart w:id="90" w:name="_Toc85105515"/>
      <w:bookmarkStart w:id="91" w:name="_Toc185325630"/>
      <w:bookmarkStart w:id="92" w:name="_Toc26604"/>
      <w:bookmarkStart w:id="93" w:name="_Toc33600364"/>
      <w:bookmarkStart w:id="94" w:name="_Toc33600413"/>
      <w:bookmarkStart w:id="95" w:name="_Toc33598964"/>
      <w:bookmarkStart w:id="96" w:name="_Toc33599579"/>
      <w:bookmarkStart w:id="97" w:name="_Toc33598533"/>
      <w:bookmarkStart w:id="98" w:name="_Toc33598904"/>
      <w:bookmarkStart w:id="99" w:name="_Toc33599706"/>
      <w:r>
        <w:rPr>
          <w:rFonts w:hint="eastAsia"/>
          <w:highlight w:val="none"/>
          <w:lang w:val="en-US" w:eastAsia="zh-CN"/>
        </w:rPr>
        <w:t>10</w:t>
      </w:r>
      <w:r>
        <w:rPr>
          <w:rFonts w:hint="eastAsia"/>
          <w:highlight w:val="none"/>
        </w:rPr>
        <w:t xml:space="preserve"> 认证的批</w:t>
      </w:r>
      <w:r>
        <w:rPr>
          <w:rFonts w:hint="eastAsia"/>
          <w:color w:val="000000"/>
          <w:highlight w:val="none"/>
        </w:rPr>
        <w:t>准、拒绝、保持、扩大、缩小、暂停、恢复和撤销的条件</w:t>
      </w:r>
      <w:bookmarkEnd w:id="88"/>
      <w:bookmarkEnd w:id="89"/>
      <w:bookmarkEnd w:id="90"/>
      <w:r>
        <w:rPr>
          <w:rFonts w:hint="eastAsia"/>
          <w:color w:val="000000"/>
          <w:highlight w:val="none"/>
        </w:rPr>
        <w:t>和程序</w:t>
      </w:r>
      <w:bookmarkEnd w:id="91"/>
      <w:bookmarkEnd w:id="92"/>
    </w:p>
    <w:p>
      <w:pPr>
        <w:bidi w:val="0"/>
        <w:rPr>
          <w:rFonts w:hint="eastAsia" w:ascii="Times New Roman" w:hAnsi="Times New Roman" w:eastAsia="宋体" w:cs="Times New Roman"/>
          <w:b/>
          <w:bCs/>
          <w:sz w:val="24"/>
          <w:szCs w:val="32"/>
          <w:highlight w:val="none"/>
          <w:lang w:val="en-US" w:eastAsia="zh-CN"/>
        </w:rPr>
      </w:pPr>
      <w:bookmarkStart w:id="100" w:name="_Toc85103627"/>
      <w:bookmarkStart w:id="101" w:name="_Toc185325631"/>
      <w:bookmarkStart w:id="102" w:name="_Toc85105516"/>
      <w:bookmarkStart w:id="103" w:name="_Toc85256252"/>
      <w:bookmarkStart w:id="104" w:name="_Toc444776336"/>
      <w:r>
        <w:rPr>
          <w:rFonts w:hint="eastAsia" w:ascii="Times New Roman" w:hAnsi="Times New Roman" w:eastAsia="宋体" w:cs="Times New Roman"/>
          <w:b/>
          <w:bCs/>
          <w:sz w:val="24"/>
          <w:szCs w:val="32"/>
          <w:highlight w:val="none"/>
          <w:lang w:val="en-US" w:eastAsia="zh-CN"/>
        </w:rPr>
        <w:t xml:space="preserve">10.1 </w:t>
      </w:r>
      <w:bookmarkEnd w:id="100"/>
      <w:bookmarkEnd w:id="101"/>
      <w:bookmarkEnd w:id="102"/>
      <w:bookmarkEnd w:id="103"/>
      <w:r>
        <w:rPr>
          <w:rFonts w:hint="eastAsia" w:ascii="Times New Roman" w:hAnsi="Times New Roman" w:eastAsia="宋体" w:cs="Times New Roman"/>
          <w:b/>
          <w:bCs/>
          <w:sz w:val="24"/>
          <w:szCs w:val="32"/>
          <w:highlight w:val="none"/>
          <w:lang w:val="en-US" w:eastAsia="zh-CN"/>
        </w:rPr>
        <w:t>批准认证范围的条件和程序</w:t>
      </w:r>
      <w:bookmarkEnd w:id="104"/>
    </w:p>
    <w:p>
      <w:pPr>
        <w:spacing w:line="360" w:lineRule="auto"/>
        <w:rPr>
          <w:rFonts w:ascii="宋体" w:hAnsi="宋体"/>
          <w:bCs/>
          <w:color w:val="000000"/>
          <w:sz w:val="24"/>
          <w:highlight w:val="none"/>
        </w:rPr>
      </w:pPr>
      <w:r>
        <w:rPr>
          <w:rFonts w:hint="eastAsia" w:ascii="宋体" w:hAnsi="宋体"/>
          <w:bCs/>
          <w:color w:val="000000"/>
          <w:sz w:val="24"/>
          <w:highlight w:val="none"/>
          <w:lang w:val="en-US" w:eastAsia="zh-CN"/>
        </w:rPr>
        <w:t>10</w:t>
      </w:r>
      <w:r>
        <w:rPr>
          <w:rFonts w:hint="eastAsia" w:ascii="宋体" w:hAnsi="宋体"/>
          <w:bCs/>
          <w:color w:val="000000"/>
          <w:sz w:val="24"/>
          <w:highlight w:val="none"/>
        </w:rPr>
        <w:t>.1.1 批准认证注册的条件</w:t>
      </w:r>
    </w:p>
    <w:p>
      <w:pPr>
        <w:numPr>
          <w:ilvl w:val="0"/>
          <w:numId w:val="6"/>
        </w:numPr>
        <w:adjustRightInd w:val="0"/>
        <w:spacing w:line="360" w:lineRule="auto"/>
        <w:ind w:left="714" w:hanging="357"/>
        <w:rPr>
          <w:rFonts w:ascii="宋体" w:hAnsi="宋体"/>
          <w:sz w:val="24"/>
          <w:highlight w:val="none"/>
        </w:rPr>
      </w:pPr>
      <w:r>
        <w:rPr>
          <w:rFonts w:hint="eastAsia" w:ascii="宋体" w:hAnsi="宋体"/>
          <w:sz w:val="24"/>
          <w:highlight w:val="none"/>
        </w:rPr>
        <w:t>认证客户的申请材料真实、准确、有效；</w:t>
      </w:r>
    </w:p>
    <w:p>
      <w:pPr>
        <w:numPr>
          <w:ilvl w:val="0"/>
          <w:numId w:val="6"/>
        </w:numPr>
        <w:adjustRightInd w:val="0"/>
        <w:spacing w:line="360" w:lineRule="auto"/>
        <w:ind w:left="714" w:hanging="357"/>
        <w:rPr>
          <w:rFonts w:ascii="宋体" w:hAnsi="宋体"/>
          <w:sz w:val="24"/>
          <w:highlight w:val="none"/>
        </w:rPr>
      </w:pPr>
      <w:r>
        <w:rPr>
          <w:rFonts w:hint="eastAsia" w:ascii="宋体" w:hAnsi="宋体"/>
          <w:sz w:val="24"/>
          <w:highlight w:val="none"/>
        </w:rPr>
        <w:t>认证客户建立和实施的创新管理体系符合认证标准/规范性文件要求，审核组提出推荐认证的结论意见；</w:t>
      </w:r>
    </w:p>
    <w:p>
      <w:pPr>
        <w:numPr>
          <w:ilvl w:val="0"/>
          <w:numId w:val="6"/>
        </w:numPr>
        <w:adjustRightInd w:val="0"/>
        <w:spacing w:line="360" w:lineRule="auto"/>
        <w:ind w:left="714" w:hanging="357"/>
        <w:rPr>
          <w:rFonts w:ascii="宋体" w:hAnsi="宋体"/>
          <w:sz w:val="24"/>
          <w:highlight w:val="none"/>
        </w:rPr>
      </w:pPr>
      <w:r>
        <w:rPr>
          <w:rFonts w:hint="eastAsia" w:ascii="宋体" w:hAnsi="宋体"/>
          <w:sz w:val="24"/>
          <w:highlight w:val="none"/>
        </w:rPr>
        <w:t>认证客户申请认证范围在法律地位文件和资质规定的范围内，认证客户在认证申请范围覆盖的经营活动不存在重大风险；</w:t>
      </w:r>
    </w:p>
    <w:p>
      <w:pPr>
        <w:numPr>
          <w:ilvl w:val="0"/>
          <w:numId w:val="6"/>
        </w:numPr>
        <w:adjustRightInd w:val="0"/>
        <w:spacing w:line="360" w:lineRule="auto"/>
        <w:ind w:left="714" w:hanging="357"/>
        <w:rPr>
          <w:rFonts w:ascii="宋体" w:hAnsi="宋体"/>
          <w:sz w:val="24"/>
          <w:highlight w:val="none"/>
        </w:rPr>
      </w:pPr>
      <w:r>
        <w:rPr>
          <w:rFonts w:hint="eastAsia" w:ascii="宋体" w:hAnsi="宋体"/>
          <w:sz w:val="24"/>
          <w:highlight w:val="none"/>
        </w:rPr>
        <w:t>认证范围覆盖的创新活动符合相关法律法规的要求；</w:t>
      </w:r>
    </w:p>
    <w:p>
      <w:pPr>
        <w:numPr>
          <w:ilvl w:val="0"/>
          <w:numId w:val="6"/>
        </w:numPr>
        <w:adjustRightInd w:val="0"/>
        <w:spacing w:line="360" w:lineRule="auto"/>
        <w:ind w:left="714" w:hanging="357"/>
        <w:rPr>
          <w:rFonts w:ascii="宋体" w:hAnsi="宋体"/>
          <w:sz w:val="24"/>
          <w:highlight w:val="none"/>
        </w:rPr>
      </w:pPr>
      <w:r>
        <w:rPr>
          <w:rFonts w:hint="eastAsia" w:ascii="宋体" w:hAnsi="宋体"/>
          <w:sz w:val="24"/>
          <w:highlight w:val="none"/>
        </w:rPr>
        <w:t>认证客户的创新管理过程不存在严重缺失；</w:t>
      </w:r>
    </w:p>
    <w:p>
      <w:pPr>
        <w:numPr>
          <w:ilvl w:val="0"/>
          <w:numId w:val="6"/>
        </w:numPr>
        <w:adjustRightInd w:val="0"/>
        <w:spacing w:line="360" w:lineRule="auto"/>
        <w:ind w:left="714" w:hanging="357"/>
        <w:rPr>
          <w:rFonts w:ascii="宋体" w:hAnsi="宋体"/>
          <w:sz w:val="24"/>
          <w:highlight w:val="none"/>
        </w:rPr>
      </w:pPr>
      <w:r>
        <w:rPr>
          <w:rFonts w:hint="eastAsia" w:ascii="宋体" w:hAnsi="宋体"/>
          <w:sz w:val="24"/>
          <w:highlight w:val="none"/>
        </w:rPr>
        <w:t>审核证据表明管理评审和内部审核的安排已实施、有效且得到保持，并已进行了一次覆盖创新管理体系所有要求的完整内部审核；</w:t>
      </w:r>
    </w:p>
    <w:p>
      <w:pPr>
        <w:numPr>
          <w:ilvl w:val="0"/>
          <w:numId w:val="6"/>
        </w:numPr>
        <w:adjustRightInd w:val="0"/>
        <w:spacing w:line="360" w:lineRule="auto"/>
        <w:ind w:left="714" w:hanging="357"/>
        <w:rPr>
          <w:rFonts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6"/>
        </w:numPr>
        <w:adjustRightInd w:val="0"/>
        <w:spacing w:line="360" w:lineRule="auto"/>
        <w:ind w:left="714" w:hanging="357"/>
        <w:rPr>
          <w:rFonts w:ascii="宋体" w:hAnsi="宋体"/>
          <w:sz w:val="24"/>
          <w:highlight w:val="none"/>
        </w:rPr>
      </w:pPr>
      <w:r>
        <w:rPr>
          <w:rFonts w:hint="eastAsia" w:ascii="宋体" w:hAnsi="宋体"/>
          <w:sz w:val="24"/>
          <w:highlight w:val="none"/>
        </w:rPr>
        <w:t>至少近一年来，认证客户申请认证范围内未发生创新重大</w:t>
      </w:r>
      <w:r>
        <w:rPr>
          <w:rFonts w:hint="eastAsia" w:ascii="宋体" w:hAnsi="宋体"/>
          <w:sz w:val="24"/>
          <w:highlight w:val="none"/>
          <w:lang w:val="en-US" w:eastAsia="zh-CN"/>
        </w:rPr>
        <w:t>诉讼案件</w:t>
      </w:r>
      <w:r>
        <w:rPr>
          <w:rFonts w:hint="eastAsia" w:ascii="宋体" w:hAnsi="宋体"/>
          <w:sz w:val="24"/>
          <w:highlight w:val="none"/>
        </w:rPr>
        <w:t>或国家检查不合格；</w:t>
      </w:r>
    </w:p>
    <w:p>
      <w:pPr>
        <w:numPr>
          <w:ilvl w:val="0"/>
          <w:numId w:val="6"/>
        </w:numPr>
        <w:adjustRightInd w:val="0"/>
        <w:spacing w:line="360" w:lineRule="auto"/>
        <w:rPr>
          <w:rFonts w:ascii="宋体" w:hAnsi="宋体"/>
          <w:sz w:val="24"/>
          <w:highlight w:val="none"/>
        </w:rPr>
      </w:pPr>
      <w:r>
        <w:rPr>
          <w:rFonts w:hint="eastAsia" w:ascii="宋体" w:hAnsi="宋体"/>
          <w:sz w:val="24"/>
          <w:highlight w:val="none"/>
        </w:rPr>
        <w:t>认证客户已与方圆签署认证合同，承诺始终遵守认证的有关规定，履行了相关义务，并按照认证合同规定缴纳认证费用；</w:t>
      </w:r>
    </w:p>
    <w:p>
      <w:pPr>
        <w:numPr>
          <w:ilvl w:val="0"/>
          <w:numId w:val="6"/>
        </w:numPr>
        <w:adjustRightInd w:val="0"/>
        <w:spacing w:line="360" w:lineRule="auto"/>
        <w:rPr>
          <w:rFonts w:ascii="宋体" w:hAnsi="宋体"/>
          <w:sz w:val="24"/>
          <w:highlight w:val="none"/>
        </w:rPr>
      </w:pPr>
      <w:r>
        <w:rPr>
          <w:rFonts w:hint="eastAsia" w:ascii="宋体" w:hAnsi="宋体"/>
          <w:sz w:val="24"/>
          <w:highlight w:val="none"/>
        </w:rPr>
        <w:t>不存在</w:t>
      </w:r>
      <w:r>
        <w:rPr>
          <w:rFonts w:hint="eastAsia" w:ascii="宋体" w:hAnsi="宋体"/>
          <w:bCs/>
          <w:color w:val="000000"/>
          <w:sz w:val="24"/>
          <w:highlight w:val="none"/>
          <w:lang w:val="en-US" w:eastAsia="zh-CN"/>
        </w:rPr>
        <w:t>10</w:t>
      </w:r>
      <w:r>
        <w:rPr>
          <w:rFonts w:hint="eastAsia" w:ascii="宋体" w:hAnsi="宋体"/>
          <w:bCs/>
          <w:sz w:val="24"/>
          <w:highlight w:val="none"/>
        </w:rPr>
        <w:t>.2.1 的情形</w:t>
      </w:r>
      <w:r>
        <w:rPr>
          <w:rFonts w:hint="eastAsia" w:ascii="宋体" w:hAnsi="宋体"/>
          <w:sz w:val="24"/>
          <w:highlight w:val="none"/>
        </w:rPr>
        <w:t>。</w:t>
      </w:r>
    </w:p>
    <w:p>
      <w:pPr>
        <w:spacing w:line="360" w:lineRule="auto"/>
        <w:rPr>
          <w:rFonts w:ascii="宋体" w:hAnsi="宋体"/>
          <w:bCs/>
          <w:sz w:val="24"/>
          <w:highlight w:val="none"/>
        </w:rPr>
      </w:pPr>
      <w:bookmarkStart w:id="105" w:name="_Toc85103628"/>
      <w:bookmarkStart w:id="106" w:name="_Toc85105517"/>
      <w:bookmarkStart w:id="107" w:name="_Toc85256253"/>
      <w:r>
        <w:rPr>
          <w:rFonts w:hint="eastAsia" w:ascii="宋体" w:hAnsi="宋体"/>
          <w:bCs/>
          <w:color w:val="000000"/>
          <w:sz w:val="24"/>
          <w:highlight w:val="none"/>
          <w:lang w:val="en-US" w:eastAsia="zh-CN"/>
        </w:rPr>
        <w:t>10</w:t>
      </w:r>
      <w:r>
        <w:rPr>
          <w:rFonts w:hint="eastAsia" w:ascii="宋体" w:hAnsi="宋体"/>
          <w:bCs/>
          <w:sz w:val="24"/>
          <w:highlight w:val="none"/>
        </w:rPr>
        <w:t>.1.2 批准认证</w:t>
      </w:r>
      <w:bookmarkEnd w:id="105"/>
      <w:bookmarkEnd w:id="106"/>
      <w:bookmarkEnd w:id="107"/>
      <w:r>
        <w:rPr>
          <w:rFonts w:hint="eastAsia" w:ascii="宋体" w:hAnsi="宋体"/>
          <w:bCs/>
          <w:sz w:val="24"/>
          <w:highlight w:val="none"/>
        </w:rPr>
        <w:t>资格的程序</w:t>
      </w:r>
    </w:p>
    <w:p>
      <w:pPr>
        <w:numPr>
          <w:ilvl w:val="0"/>
          <w:numId w:val="7"/>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7"/>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认证客户向CQM正式提交认证申请书和相关附件；</w:t>
      </w:r>
    </w:p>
    <w:p>
      <w:pPr>
        <w:numPr>
          <w:ilvl w:val="0"/>
          <w:numId w:val="7"/>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7"/>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.1.1批准认证资格的条件，经CQM审定，认为认证客户在认证范围内已满足批准认证资格的条件，同意批准认证；</w:t>
      </w:r>
    </w:p>
    <w:p>
      <w:pPr>
        <w:numPr>
          <w:ilvl w:val="0"/>
          <w:numId w:val="7"/>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CQM向认证客户颁发认证证书，要求获证方按规定使用认证标志。</w:t>
      </w:r>
    </w:p>
    <w:p>
      <w:pPr>
        <w:bidi w:val="0"/>
        <w:rPr>
          <w:rFonts w:hint="eastAsia" w:ascii="Times New Roman" w:hAnsi="Times New Roman" w:eastAsia="宋体" w:cs="Times New Roman"/>
          <w:b/>
          <w:bCs/>
          <w:sz w:val="24"/>
          <w:szCs w:val="32"/>
          <w:highlight w:val="none"/>
          <w:lang w:val="en-US" w:eastAsia="zh-CN"/>
        </w:rPr>
      </w:pPr>
      <w:bookmarkStart w:id="108" w:name="_Toc444776337"/>
      <w:r>
        <w:rPr>
          <w:rFonts w:hint="eastAsia" w:ascii="Times New Roman" w:hAnsi="Times New Roman" w:eastAsia="宋体" w:cs="Times New Roman"/>
          <w:b/>
          <w:bCs/>
          <w:sz w:val="24"/>
          <w:szCs w:val="32"/>
          <w:highlight w:val="none"/>
          <w:lang w:val="en-US" w:eastAsia="zh-CN"/>
        </w:rPr>
        <w:t>10.2 拒绝认证注册的条件和程序</w:t>
      </w:r>
      <w:bookmarkEnd w:id="108"/>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.2.1 拒绝认证资格的条件</w:t>
      </w:r>
    </w:p>
    <w:p>
      <w:pPr>
        <w:numPr>
          <w:ilvl w:val="0"/>
          <w:numId w:val="8"/>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r>
        <w:rPr>
          <w:rFonts w:ascii="宋体" w:hAnsi="宋体"/>
          <w:sz w:val="24"/>
          <w:highlight w:val="none"/>
        </w:rPr>
        <w:t xml:space="preserve"> </w:t>
      </w:r>
    </w:p>
    <w:p>
      <w:pPr>
        <w:numPr>
          <w:ilvl w:val="0"/>
          <w:numId w:val="8"/>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经现场审核核实，受审核方申请认证的产品/服务范围超出其经营许可范围，或涉及的生产许可文件、强制认证文件不齐全的（或缩减认证该范围）；</w:t>
      </w:r>
    </w:p>
    <w:p>
      <w:pPr>
        <w:numPr>
          <w:ilvl w:val="0"/>
          <w:numId w:val="8"/>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受审核方的实际情况与认证合同中约定的组织名称、地址、人员明显不一致的；</w:t>
      </w:r>
    </w:p>
    <w:p>
      <w:pPr>
        <w:numPr>
          <w:ilvl w:val="0"/>
          <w:numId w:val="8"/>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发现受审核方存在重大创新管理问题或存在与创新管理相关的严重违法违规行为；</w:t>
      </w:r>
    </w:p>
    <w:p>
      <w:pPr>
        <w:numPr>
          <w:ilvl w:val="0"/>
          <w:numId w:val="8"/>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受审核方未开展内部审核及管理评审活动；</w:t>
      </w:r>
    </w:p>
    <w:p>
      <w:pPr>
        <w:numPr>
          <w:ilvl w:val="0"/>
          <w:numId w:val="8"/>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受审核方无任何创新活动；</w:t>
      </w:r>
    </w:p>
    <w:p>
      <w:pPr>
        <w:numPr>
          <w:ilvl w:val="0"/>
          <w:numId w:val="8"/>
        </w:numPr>
        <w:tabs>
          <w:tab w:val="left" w:pos="720"/>
          <w:tab w:val="left" w:pos="900"/>
          <w:tab w:val="clear" w:pos="1050"/>
        </w:tabs>
        <w:spacing w:line="360" w:lineRule="auto"/>
        <w:ind w:left="720" w:hanging="360"/>
        <w:rPr>
          <w:rFonts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8"/>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cs="宋体"/>
          <w:sz w:val="24"/>
          <w:highlight w:val="none"/>
        </w:rPr>
        <w:t>认证客户存在重大问题及与认证范围内相关严重违法违规行为，经CQM的审定结论为不予认证注册；</w:t>
      </w:r>
    </w:p>
    <w:p>
      <w:pPr>
        <w:widowControl/>
        <w:numPr>
          <w:ilvl w:val="0"/>
          <w:numId w:val="8"/>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8"/>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8"/>
        </w:numPr>
        <w:tabs>
          <w:tab w:val="left" w:pos="720"/>
          <w:tab w:val="left" w:pos="900"/>
          <w:tab w:val="clear" w:pos="1050"/>
        </w:tabs>
        <w:spacing w:line="360" w:lineRule="auto"/>
        <w:ind w:left="720" w:hanging="360"/>
        <w:rPr>
          <w:rFonts w:ascii="宋体" w:hAnsi="宋体" w:cs="宋体"/>
          <w:sz w:val="24"/>
          <w:highlight w:val="none"/>
        </w:rPr>
      </w:pPr>
      <w:r>
        <w:rPr>
          <w:rFonts w:hint="eastAsia" w:ascii="宋体" w:hAnsi="宋体" w:cs="宋体"/>
          <w:sz w:val="24"/>
          <w:highlight w:val="none"/>
        </w:rPr>
        <w:t>除以上情况外，CQM的审定结论为不予认证注册。</w:t>
      </w:r>
    </w:p>
    <w:p>
      <w:pPr>
        <w:tabs>
          <w:tab w:val="left" w:pos="720"/>
        </w:tabs>
        <w:spacing w:line="360" w:lineRule="auto"/>
        <w:rPr>
          <w:rFonts w:ascii="宋体" w:hAnsi="宋体"/>
          <w:bCs/>
          <w:i/>
          <w:i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.2.2 拒绝认证注册的程序</w:t>
      </w:r>
    </w:p>
    <w:p>
      <w:pPr>
        <w:pStyle w:val="10"/>
        <w:numPr>
          <w:ilvl w:val="1"/>
          <w:numId w:val="7"/>
        </w:numPr>
        <w:tabs>
          <w:tab w:val="left" w:pos="720"/>
          <w:tab w:val="clear" w:pos="1139"/>
        </w:tabs>
        <w:spacing w:after="0" w:line="360" w:lineRule="auto"/>
        <w:ind w:left="720" w:leftChars="0"/>
        <w:rPr>
          <w:rFonts w:ascii="宋体" w:hAnsi="宋体"/>
          <w:bCs/>
          <w:iCs/>
          <w:sz w:val="24"/>
          <w:highlight w:val="none"/>
        </w:rPr>
      </w:pPr>
      <w:r>
        <w:rPr>
          <w:rFonts w:hint="eastAsia" w:ascii="宋体" w:hAnsi="宋体"/>
          <w:iCs/>
          <w:sz w:val="24"/>
          <w:highlight w:val="none"/>
        </w:rPr>
        <w:t>符合</w:t>
      </w:r>
      <w:r>
        <w:rPr>
          <w:rFonts w:hint="eastAsia" w:ascii="宋体" w:hAnsi="宋体"/>
          <w:bCs/>
          <w:color w:val="000000"/>
          <w:sz w:val="24"/>
          <w:highlight w:val="none"/>
          <w:lang w:val="en-US" w:eastAsia="zh-CN"/>
        </w:rPr>
        <w:t>10</w:t>
      </w:r>
      <w:r>
        <w:rPr>
          <w:rFonts w:hint="eastAsia" w:ascii="宋体" w:hAnsi="宋体"/>
          <w:iCs/>
          <w:sz w:val="24"/>
          <w:highlight w:val="none"/>
        </w:rPr>
        <w:t>.2.1条件之一，经CQM</w:t>
      </w:r>
      <w:r>
        <w:rPr>
          <w:rFonts w:hint="eastAsia" w:ascii="宋体" w:hAnsi="宋体"/>
          <w:sz w:val="24"/>
          <w:highlight w:val="none"/>
        </w:rPr>
        <w:t>评审为不予受理认证或认证客户的管理体系不满足批准认证资格条件</w:t>
      </w:r>
      <w:r>
        <w:rPr>
          <w:rFonts w:hint="eastAsia" w:ascii="宋体" w:hAnsi="宋体"/>
          <w:color w:val="000000"/>
          <w:sz w:val="24"/>
          <w:highlight w:val="none"/>
        </w:rPr>
        <w:t>；</w:t>
      </w:r>
      <w:r>
        <w:rPr>
          <w:rFonts w:hint="eastAsia" w:ascii="宋体" w:hAnsi="宋体"/>
          <w:bCs/>
          <w:iCs/>
          <w:sz w:val="24"/>
          <w:highlight w:val="none"/>
        </w:rPr>
        <w:t xml:space="preserve"> </w:t>
      </w:r>
    </w:p>
    <w:p>
      <w:pPr>
        <w:pStyle w:val="10"/>
        <w:numPr>
          <w:ilvl w:val="1"/>
          <w:numId w:val="7"/>
        </w:numPr>
        <w:tabs>
          <w:tab w:val="left" w:pos="720"/>
          <w:tab w:val="clear" w:pos="1139"/>
        </w:tabs>
        <w:spacing w:after="0" w:line="360" w:lineRule="auto"/>
        <w:ind w:left="720" w:leftChars="0"/>
        <w:rPr>
          <w:rFonts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bidi w:val="0"/>
        <w:rPr>
          <w:rFonts w:hint="eastAsia" w:ascii="Times New Roman" w:hAnsi="Times New Roman" w:eastAsia="宋体" w:cs="Times New Roman"/>
          <w:b/>
          <w:bCs/>
          <w:sz w:val="24"/>
          <w:szCs w:val="32"/>
          <w:highlight w:val="none"/>
          <w:lang w:val="en-US" w:eastAsia="zh-CN"/>
        </w:rPr>
      </w:pPr>
      <w:bookmarkStart w:id="109" w:name="_Toc85105518"/>
      <w:bookmarkStart w:id="110" w:name="_Toc85103629"/>
      <w:bookmarkStart w:id="111" w:name="_Toc85256254"/>
      <w:bookmarkStart w:id="112" w:name="_Toc185325632"/>
      <w:bookmarkStart w:id="113" w:name="_Toc444776338"/>
      <w:r>
        <w:rPr>
          <w:rFonts w:hint="eastAsia" w:ascii="Times New Roman" w:hAnsi="Times New Roman" w:eastAsia="宋体" w:cs="Times New Roman"/>
          <w:b/>
          <w:bCs/>
          <w:sz w:val="24"/>
          <w:szCs w:val="32"/>
          <w:highlight w:val="none"/>
          <w:lang w:val="en-US" w:eastAsia="zh-CN"/>
        </w:rPr>
        <w:t>10.3 保持认证资格的条件</w:t>
      </w:r>
      <w:bookmarkEnd w:id="109"/>
      <w:bookmarkEnd w:id="110"/>
      <w:bookmarkEnd w:id="111"/>
      <w:r>
        <w:rPr>
          <w:rFonts w:hint="eastAsia" w:ascii="Times New Roman" w:hAnsi="Times New Roman" w:eastAsia="宋体" w:cs="Times New Roman"/>
          <w:b/>
          <w:bCs/>
          <w:sz w:val="24"/>
          <w:szCs w:val="32"/>
          <w:highlight w:val="none"/>
          <w:lang w:val="en-US" w:eastAsia="zh-CN"/>
        </w:rPr>
        <w:t>和程序</w:t>
      </w:r>
      <w:bookmarkEnd w:id="112"/>
      <w:bookmarkEnd w:id="113"/>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.3.1 保持认证资格的条件</w:t>
      </w:r>
    </w:p>
    <w:p>
      <w:pPr>
        <w:numPr>
          <w:ilvl w:val="0"/>
          <w:numId w:val="9"/>
        </w:numPr>
        <w:tabs>
          <w:tab w:val="left" w:pos="720"/>
        </w:tabs>
        <w:spacing w:line="360" w:lineRule="auto"/>
        <w:ind w:left="709" w:hanging="349"/>
        <w:rPr>
          <w:rFonts w:ascii="宋体" w:hAnsi="宋体"/>
          <w:sz w:val="24"/>
          <w:highlight w:val="none"/>
        </w:rPr>
      </w:pPr>
      <w:r>
        <w:rPr>
          <w:rFonts w:hint="eastAsia" w:ascii="宋体" w:hAnsi="宋体" w:cs="宋体"/>
          <w:color w:val="000000"/>
          <w:sz w:val="24"/>
          <w:highlight w:val="none"/>
        </w:rPr>
        <w:t>获证客户的法律地位、行政许可文件持续符合国家的最新要求，并且认证</w:t>
      </w:r>
      <w:r>
        <w:rPr>
          <w:rFonts w:hint="eastAsia" w:ascii="宋体" w:hAnsi="宋体"/>
          <w:sz w:val="24"/>
          <w:highlight w:val="none"/>
        </w:rPr>
        <w:t>范围在法律地位文件和行政许可文件规定的范围内；</w:t>
      </w:r>
    </w:p>
    <w:p>
      <w:pPr>
        <w:numPr>
          <w:ilvl w:val="0"/>
          <w:numId w:val="9"/>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获证客户持续遵守认证有关的规定，包括变更的规定；</w:t>
      </w:r>
    </w:p>
    <w:p>
      <w:pPr>
        <w:numPr>
          <w:ilvl w:val="0"/>
          <w:numId w:val="9"/>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获证客户在认证范围内的组织程和活动持续满足适用的最新法律法规的要求，如发生不满足时及时采取有效的措施；</w:t>
      </w:r>
    </w:p>
    <w:p>
      <w:pPr>
        <w:numPr>
          <w:ilvl w:val="0"/>
          <w:numId w:val="9"/>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获证客户于获证期内，认证范围内涉及的过程或活动未发生创新重大</w:t>
      </w:r>
      <w:r>
        <w:rPr>
          <w:rFonts w:hint="eastAsia" w:ascii="宋体" w:hAnsi="宋体"/>
          <w:sz w:val="24"/>
          <w:highlight w:val="none"/>
          <w:lang w:val="en-US" w:eastAsia="zh-CN"/>
        </w:rPr>
        <w:t>诉讼案件</w:t>
      </w:r>
      <w:r>
        <w:rPr>
          <w:rFonts w:hint="eastAsia" w:ascii="宋体" w:hAnsi="宋体"/>
          <w:sz w:val="24"/>
          <w:highlight w:val="none"/>
        </w:rPr>
        <w:t>和国家检查不合格；</w:t>
      </w:r>
    </w:p>
    <w:p>
      <w:pPr>
        <w:numPr>
          <w:ilvl w:val="0"/>
          <w:numId w:val="9"/>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获证客户在获证期间未发生误用认证证书和认证标志，如有发生能及时有效地采取纠正和纠正措施，并将误用产生的影响降至最少程度；</w:t>
      </w:r>
    </w:p>
    <w:p>
      <w:pPr>
        <w:numPr>
          <w:ilvl w:val="0"/>
          <w:numId w:val="9"/>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9"/>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9"/>
        </w:numPr>
        <w:tabs>
          <w:tab w:val="left" w:pos="720"/>
        </w:tabs>
        <w:spacing w:line="360" w:lineRule="auto"/>
        <w:ind w:left="720" w:hanging="360"/>
        <w:rPr>
          <w:rFonts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9"/>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ascii="宋体" w:hAnsi="宋体"/>
          <w:bCs/>
          <w:i/>
          <w:i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.3.2 保持认证资格的程序</w:t>
      </w:r>
    </w:p>
    <w:p>
      <w:pPr>
        <w:numPr>
          <w:ilvl w:val="0"/>
          <w:numId w:val="10"/>
        </w:numPr>
        <w:tabs>
          <w:tab w:val="left" w:pos="720"/>
          <w:tab w:val="clear" w:pos="1050"/>
        </w:tabs>
        <w:spacing w:line="360" w:lineRule="auto"/>
        <w:ind w:left="709" w:hanging="349"/>
        <w:rPr>
          <w:rFonts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 xml:space="preserve">.3.1保持认证资格的条件，监督审核后，经CQM派出的审核组长确认和CQM审查后认为获证客户在认证范围内能持续满足保持认证资格的条件，同意保持认证资格，由CQM签发确认证书并向获证客户发放；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bidi w:val="0"/>
        <w:rPr>
          <w:rFonts w:hint="eastAsia" w:ascii="Times New Roman" w:hAnsi="Times New Roman" w:eastAsia="宋体" w:cs="Times New Roman"/>
          <w:b/>
          <w:bCs/>
          <w:sz w:val="24"/>
          <w:szCs w:val="32"/>
          <w:highlight w:val="none"/>
          <w:lang w:val="en-US" w:eastAsia="zh-CN"/>
        </w:rPr>
      </w:pPr>
      <w:bookmarkStart w:id="114" w:name="_Toc85256255"/>
      <w:bookmarkStart w:id="115" w:name="_Toc85105519"/>
      <w:bookmarkStart w:id="116" w:name="_Toc85103630"/>
      <w:bookmarkStart w:id="117" w:name="_Toc444776339"/>
      <w:bookmarkStart w:id="118" w:name="_Toc185325633"/>
      <w:r>
        <w:rPr>
          <w:rFonts w:hint="eastAsia" w:ascii="Times New Roman" w:hAnsi="Times New Roman" w:eastAsia="宋体" w:cs="Times New Roman"/>
          <w:b/>
          <w:bCs/>
          <w:sz w:val="24"/>
          <w:szCs w:val="32"/>
          <w:highlight w:val="none"/>
          <w:lang w:val="en-US" w:eastAsia="zh-CN"/>
        </w:rPr>
        <w:t>10.4 扩大认证范围的条件</w:t>
      </w:r>
      <w:bookmarkEnd w:id="114"/>
      <w:bookmarkEnd w:id="115"/>
      <w:bookmarkEnd w:id="116"/>
      <w:r>
        <w:rPr>
          <w:rFonts w:hint="eastAsia" w:ascii="Times New Roman" w:hAnsi="Times New Roman" w:eastAsia="宋体" w:cs="Times New Roman"/>
          <w:b/>
          <w:bCs/>
          <w:sz w:val="24"/>
          <w:szCs w:val="32"/>
          <w:highlight w:val="none"/>
          <w:lang w:val="en-US" w:eastAsia="zh-CN"/>
        </w:rPr>
        <w:t>和程序</w:t>
      </w:r>
      <w:bookmarkEnd w:id="117"/>
      <w:bookmarkEnd w:id="118"/>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.4.1 扩大认证范围的分类</w:t>
      </w:r>
    </w:p>
    <w:p>
      <w:pPr>
        <w:numPr>
          <w:ilvl w:val="0"/>
          <w:numId w:val="11"/>
        </w:numPr>
        <w:spacing w:line="360" w:lineRule="auto"/>
        <w:rPr>
          <w:rFonts w:ascii="宋体" w:hAnsi="宋体"/>
          <w:sz w:val="24"/>
          <w:highlight w:val="none"/>
        </w:rPr>
      </w:pPr>
      <w:r>
        <w:rPr>
          <w:rFonts w:hint="eastAsia" w:ascii="宋体" w:hAnsi="宋体"/>
          <w:sz w:val="24"/>
          <w:highlight w:val="none"/>
        </w:rPr>
        <w:t>获证客户</w:t>
      </w:r>
      <w:r>
        <w:rPr>
          <w:rFonts w:hint="eastAsia" w:ascii="宋体" w:hAnsi="宋体"/>
          <w:sz w:val="24"/>
          <w:highlight w:val="none"/>
          <w:lang w:val="en-US" w:eastAsia="zh-CN"/>
        </w:rPr>
        <w:t>证书覆盖范围</w:t>
      </w:r>
      <w:r>
        <w:rPr>
          <w:rFonts w:hint="eastAsia" w:ascii="宋体" w:hAnsi="宋体"/>
          <w:sz w:val="24"/>
          <w:highlight w:val="none"/>
        </w:rPr>
        <w:t>增加、固定分场所增加；</w:t>
      </w:r>
    </w:p>
    <w:p>
      <w:pPr>
        <w:numPr>
          <w:ilvl w:val="0"/>
          <w:numId w:val="11"/>
        </w:numPr>
        <w:spacing w:line="360" w:lineRule="auto"/>
        <w:rPr>
          <w:rFonts w:ascii="宋体" w:hAnsi="宋体"/>
          <w:sz w:val="24"/>
          <w:highlight w:val="none"/>
        </w:rPr>
      </w:pPr>
      <w:r>
        <w:rPr>
          <w:rFonts w:hint="eastAsia" w:ascii="宋体" w:hAnsi="宋体"/>
          <w:sz w:val="24"/>
          <w:highlight w:val="none"/>
        </w:rPr>
        <w:t>获证客户运营中过程或活动增加。</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.4.2 扩大认证范围的条件</w:t>
      </w:r>
    </w:p>
    <w:p>
      <w:pPr>
        <w:numPr>
          <w:ilvl w:val="0"/>
          <w:numId w:val="12"/>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2"/>
        </w:numPr>
        <w:spacing w:line="360" w:lineRule="auto"/>
        <w:rPr>
          <w:rFonts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2"/>
        </w:numPr>
        <w:spacing w:line="360" w:lineRule="auto"/>
        <w:rPr>
          <w:rFonts w:ascii="宋体" w:hAnsi="宋体"/>
          <w:sz w:val="24"/>
          <w:highlight w:val="none"/>
        </w:rPr>
      </w:pPr>
      <w:r>
        <w:rPr>
          <w:rFonts w:hint="eastAsia" w:ascii="宋体" w:hAnsi="宋体"/>
          <w:sz w:val="24"/>
          <w:highlight w:val="none"/>
        </w:rPr>
        <w:t>国家或地方或行业有要求时，获证客户在申请扩大认证范围内的组织运营中的过程和活动，已满足适用的法律法规的要求；</w:t>
      </w:r>
    </w:p>
    <w:p>
      <w:pPr>
        <w:numPr>
          <w:ilvl w:val="0"/>
          <w:numId w:val="12"/>
        </w:numPr>
        <w:spacing w:line="360" w:lineRule="auto"/>
        <w:rPr>
          <w:rFonts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2"/>
        </w:numPr>
        <w:spacing w:line="360" w:lineRule="auto"/>
        <w:rPr>
          <w:iCs/>
          <w:sz w:val="24"/>
          <w:highlight w:val="none"/>
        </w:rPr>
      </w:pPr>
      <w:r>
        <w:rPr>
          <w:rFonts w:hint="eastAsia" w:ascii="宋体" w:hAnsi="宋体"/>
          <w:sz w:val="24"/>
          <w:highlight w:val="none"/>
        </w:rPr>
        <w:t>获证客户按照认证规定缴纳补充认证费用。</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.4.3 扩大认证范围的程序</w:t>
      </w:r>
    </w:p>
    <w:p>
      <w:pPr>
        <w:numPr>
          <w:ilvl w:val="0"/>
          <w:numId w:val="13"/>
        </w:numPr>
        <w:spacing w:line="360" w:lineRule="auto"/>
        <w:rPr>
          <w:rFonts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3"/>
        </w:numPr>
        <w:spacing w:line="360" w:lineRule="auto"/>
        <w:rPr>
          <w:rFonts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3"/>
        </w:numPr>
        <w:spacing w:line="360" w:lineRule="auto"/>
        <w:rPr>
          <w:rFonts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3"/>
        </w:numPr>
        <w:spacing w:line="360" w:lineRule="auto"/>
        <w:rPr>
          <w:rFonts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.4.1扩大认证范围的条件，经CQM审核、审定，认为获证客户在申请扩大认证范围内已满足批准认证资格的条件，同意批准扩大认证范围，认证证书的注册号和有效期保持不变；</w:t>
      </w:r>
    </w:p>
    <w:p>
      <w:pPr>
        <w:numPr>
          <w:ilvl w:val="0"/>
          <w:numId w:val="13"/>
        </w:numPr>
        <w:spacing w:line="360" w:lineRule="auto"/>
        <w:rPr>
          <w:rFonts w:ascii="宋体" w:hAnsi="宋体"/>
          <w:sz w:val="24"/>
          <w:highlight w:val="none"/>
        </w:rPr>
      </w:pPr>
      <w:r>
        <w:rPr>
          <w:rFonts w:hint="eastAsia" w:ascii="宋体" w:hAnsi="宋体"/>
          <w:sz w:val="24"/>
          <w:highlight w:val="none"/>
        </w:rPr>
        <w:t>CQM向获证客户送交新认证证书，同时收回原证书。</w:t>
      </w:r>
    </w:p>
    <w:p>
      <w:pPr>
        <w:bidi w:val="0"/>
        <w:rPr>
          <w:rFonts w:hint="eastAsia" w:ascii="Times New Roman" w:hAnsi="Times New Roman" w:eastAsia="宋体" w:cs="Times New Roman"/>
          <w:b/>
          <w:bCs/>
          <w:sz w:val="24"/>
          <w:szCs w:val="32"/>
          <w:highlight w:val="none"/>
          <w:lang w:val="en-US" w:eastAsia="zh-CN"/>
        </w:rPr>
      </w:pPr>
      <w:bookmarkStart w:id="119" w:name="_Toc85105520"/>
      <w:bookmarkStart w:id="120" w:name="_Toc85103631"/>
      <w:bookmarkStart w:id="121" w:name="_Toc85256256"/>
      <w:bookmarkStart w:id="122" w:name="_Toc444776340"/>
      <w:bookmarkStart w:id="123" w:name="_Toc185325634"/>
      <w:r>
        <w:rPr>
          <w:rFonts w:hint="eastAsia" w:ascii="Times New Roman" w:hAnsi="Times New Roman" w:eastAsia="宋体" w:cs="Times New Roman"/>
          <w:b/>
          <w:bCs/>
          <w:sz w:val="24"/>
          <w:szCs w:val="32"/>
          <w:highlight w:val="none"/>
          <w:lang w:val="en-US" w:eastAsia="zh-CN"/>
        </w:rPr>
        <w:t>10.5 缩小认证范围的条件</w:t>
      </w:r>
      <w:bookmarkEnd w:id="119"/>
      <w:bookmarkEnd w:id="120"/>
      <w:bookmarkEnd w:id="121"/>
      <w:r>
        <w:rPr>
          <w:rFonts w:hint="eastAsia" w:ascii="Times New Roman" w:hAnsi="Times New Roman" w:eastAsia="宋体" w:cs="Times New Roman"/>
          <w:b/>
          <w:bCs/>
          <w:sz w:val="24"/>
          <w:szCs w:val="32"/>
          <w:highlight w:val="none"/>
          <w:lang w:val="en-US" w:eastAsia="zh-CN"/>
        </w:rPr>
        <w:t>和程序</w:t>
      </w:r>
      <w:bookmarkEnd w:id="122"/>
      <w:bookmarkEnd w:id="123"/>
    </w:p>
    <w:p>
      <w:pPr>
        <w:spacing w:line="360" w:lineRule="auto"/>
        <w:rPr>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.5.1 缩小认证范围的分类</w:t>
      </w:r>
    </w:p>
    <w:p>
      <w:pPr>
        <w:numPr>
          <w:ilvl w:val="0"/>
          <w:numId w:val="14"/>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获证客户固定分场所、区域的缩小；</w:t>
      </w:r>
    </w:p>
    <w:p>
      <w:pPr>
        <w:numPr>
          <w:ilvl w:val="0"/>
          <w:numId w:val="14"/>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与创新活动相关的产品类别减少；</w:t>
      </w:r>
    </w:p>
    <w:p>
      <w:pPr>
        <w:numPr>
          <w:ilvl w:val="0"/>
          <w:numId w:val="14"/>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与创新活动相关的产品形成主要过程减少；</w:t>
      </w:r>
    </w:p>
    <w:p>
      <w:pPr>
        <w:numPr>
          <w:ilvl w:val="0"/>
          <w:numId w:val="14"/>
        </w:numPr>
        <w:tabs>
          <w:tab w:val="left" w:pos="720"/>
          <w:tab w:val="clear" w:pos="1078"/>
        </w:tabs>
        <w:spacing w:line="360" w:lineRule="auto"/>
        <w:ind w:left="720"/>
        <w:rPr>
          <w:highlight w:val="none"/>
        </w:rPr>
      </w:pPr>
      <w:r>
        <w:rPr>
          <w:rFonts w:hint="eastAsia" w:ascii="宋体" w:hAnsi="宋体"/>
          <w:bCs/>
          <w:sz w:val="24"/>
          <w:highlight w:val="none"/>
        </w:rPr>
        <w:t>多个组织认证减少组织数量。</w:t>
      </w:r>
    </w:p>
    <w:p>
      <w:pPr>
        <w:spacing w:line="360" w:lineRule="auto"/>
        <w:rPr>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.5.2 缩小认证范围的条件</w:t>
      </w:r>
    </w:p>
    <w:p>
      <w:pPr>
        <w:numPr>
          <w:ilvl w:val="0"/>
          <w:numId w:val="15"/>
        </w:numPr>
        <w:tabs>
          <w:tab w:val="left" w:pos="709"/>
          <w:tab w:val="clear" w:pos="1078"/>
        </w:tabs>
        <w:spacing w:line="360" w:lineRule="auto"/>
        <w:ind w:left="720"/>
        <w:jc w:val="left"/>
        <w:rPr>
          <w:rFonts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r>
        <w:rPr>
          <w:rFonts w:hint="eastAsia" w:ascii="宋体" w:hAnsi="宋体"/>
          <w:bCs/>
          <w:sz w:val="24"/>
          <w:highlight w:val="none"/>
          <w:lang w:eastAsia="zh-CN"/>
        </w:rPr>
        <w:t>，</w:t>
      </w:r>
      <w:r>
        <w:rPr>
          <w:rFonts w:hint="eastAsia" w:ascii="宋体" w:hAnsi="宋体"/>
          <w:bCs/>
          <w:sz w:val="24"/>
          <w:highlight w:val="none"/>
          <w:lang w:val="en-US" w:eastAsia="zh-CN"/>
        </w:rPr>
        <w:t>但不影响管理体系的完整性</w:t>
      </w:r>
      <w:r>
        <w:rPr>
          <w:rFonts w:hint="eastAsia" w:ascii="宋体" w:hAnsi="宋体"/>
          <w:bCs/>
          <w:sz w:val="24"/>
          <w:highlight w:val="none"/>
        </w:rPr>
        <w:t>；</w:t>
      </w:r>
    </w:p>
    <w:p>
      <w:pPr>
        <w:numPr>
          <w:ilvl w:val="0"/>
          <w:numId w:val="15"/>
        </w:numPr>
        <w:tabs>
          <w:tab w:val="left" w:pos="709"/>
          <w:tab w:val="clear" w:pos="1078"/>
        </w:tabs>
        <w:spacing w:line="360" w:lineRule="auto"/>
        <w:ind w:left="720"/>
        <w:rPr>
          <w:rFonts w:ascii="宋体" w:hAnsi="宋体"/>
          <w:bCs/>
          <w:sz w:val="24"/>
          <w:highlight w:val="none"/>
        </w:rPr>
      </w:pPr>
      <w:r>
        <w:rPr>
          <w:rFonts w:hint="eastAsia" w:ascii="宋体" w:hAnsi="宋体"/>
          <w:bCs/>
          <w:sz w:val="24"/>
          <w:highlight w:val="none"/>
        </w:rPr>
        <w:t>获证客户不愿再继续保持认证范围内的部分产品、服务、区域等认证资格；</w:t>
      </w:r>
    </w:p>
    <w:p>
      <w:pPr>
        <w:numPr>
          <w:ilvl w:val="0"/>
          <w:numId w:val="15"/>
        </w:numPr>
        <w:tabs>
          <w:tab w:val="left" w:pos="709"/>
          <w:tab w:val="clear" w:pos="1078"/>
        </w:tabs>
        <w:spacing w:line="360" w:lineRule="auto"/>
        <w:ind w:left="720"/>
        <w:rPr>
          <w:rFonts w:ascii="宋体" w:hAnsi="宋体"/>
          <w:bCs/>
          <w:sz w:val="24"/>
          <w:highlight w:val="none"/>
        </w:rPr>
      </w:pPr>
      <w:r>
        <w:rPr>
          <w:rFonts w:hint="eastAsia" w:ascii="宋体" w:hAnsi="宋体"/>
          <w:bCs/>
          <w:sz w:val="24"/>
          <w:highlight w:val="none"/>
        </w:rPr>
        <w:t>获证客户缩小认证范围应不包括为缩小认证风险的情况。</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.5.3 缩小认证范围的程序</w:t>
      </w:r>
    </w:p>
    <w:p>
      <w:pPr>
        <w:numPr>
          <w:ilvl w:val="2"/>
          <w:numId w:val="7"/>
        </w:numPr>
        <w:spacing w:line="360" w:lineRule="auto"/>
        <w:rPr>
          <w:rFonts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7"/>
        </w:numPr>
        <w:spacing w:line="360" w:lineRule="auto"/>
        <w:rPr>
          <w:rFonts w:ascii="宋体" w:hAnsi="宋体"/>
          <w:sz w:val="24"/>
          <w:highlight w:val="none"/>
        </w:rPr>
      </w:pPr>
      <w:r>
        <w:rPr>
          <w:rFonts w:hint="eastAsia" w:ascii="宋体" w:hAnsi="宋体"/>
          <w:sz w:val="24"/>
          <w:highlight w:val="none"/>
        </w:rPr>
        <w:t>需要时，获证客户应与CQM修订认证合同；</w:t>
      </w:r>
    </w:p>
    <w:p>
      <w:pPr>
        <w:numPr>
          <w:ilvl w:val="2"/>
          <w:numId w:val="7"/>
        </w:numPr>
        <w:spacing w:line="360" w:lineRule="auto"/>
        <w:rPr>
          <w:rFonts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bidi w:val="0"/>
        <w:rPr>
          <w:rFonts w:hint="eastAsia" w:ascii="Times New Roman" w:hAnsi="Times New Roman" w:eastAsia="宋体" w:cs="Times New Roman"/>
          <w:b/>
          <w:bCs/>
          <w:sz w:val="24"/>
          <w:szCs w:val="32"/>
          <w:highlight w:val="none"/>
          <w:lang w:val="en-US" w:eastAsia="zh-CN"/>
        </w:rPr>
      </w:pPr>
      <w:bookmarkStart w:id="124" w:name="_Toc444776341"/>
      <w:r>
        <w:rPr>
          <w:rFonts w:hint="eastAsia" w:ascii="Times New Roman" w:hAnsi="Times New Roman" w:eastAsia="宋体" w:cs="Times New Roman"/>
          <w:b/>
          <w:bCs/>
          <w:sz w:val="24"/>
          <w:szCs w:val="32"/>
          <w:highlight w:val="none"/>
          <w:lang w:val="en-US" w:eastAsia="zh-CN"/>
        </w:rPr>
        <w:t>10.6 变更认证信息的条件和程序</w:t>
      </w:r>
      <w:bookmarkEnd w:id="124"/>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ascii="宋体" w:hAnsi="宋体"/>
          <w:sz w:val="24"/>
          <w:highlight w:val="none"/>
        </w:rPr>
      </w:pPr>
      <w:r>
        <w:rPr>
          <w:rFonts w:hint="eastAsia" w:ascii="宋体" w:hAnsi="宋体"/>
          <w:bCs/>
          <w:color w:val="000000"/>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ascii="宋体" w:hAnsi="宋体"/>
          <w:sz w:val="24"/>
          <w:highlight w:val="none"/>
        </w:rPr>
      </w:pPr>
      <w:r>
        <w:rPr>
          <w:rFonts w:hint="eastAsia" w:ascii="宋体" w:hAnsi="宋体"/>
          <w:sz w:val="24"/>
          <w:highlight w:val="none"/>
        </w:rPr>
        <w:t>在认证证书有效内，获证客户因信息发生变更，导致与认证证书信息不一致时，应予以更新。</w:t>
      </w:r>
    </w:p>
    <w:p>
      <w:pPr>
        <w:spacing w:line="360" w:lineRule="auto"/>
        <w:rPr>
          <w:rFonts w:ascii="宋体" w:hAnsi="宋体"/>
          <w:sz w:val="24"/>
          <w:highlight w:val="none"/>
        </w:rPr>
      </w:pPr>
      <w:r>
        <w:rPr>
          <w:rFonts w:hint="eastAsia" w:ascii="宋体" w:hAnsi="宋体"/>
          <w:bCs/>
          <w:color w:val="000000"/>
          <w:sz w:val="24"/>
          <w:highlight w:val="none"/>
          <w:lang w:val="en-US" w:eastAsia="zh-CN"/>
        </w:rPr>
        <w:t>10</w:t>
      </w:r>
      <w:r>
        <w:rPr>
          <w:rFonts w:hint="eastAsia" w:ascii="宋体" w:hAnsi="宋体"/>
          <w:sz w:val="24"/>
          <w:highlight w:val="none"/>
        </w:rPr>
        <w:t>.6.1.2变更认证信息的分类：</w:t>
      </w:r>
    </w:p>
    <w:p>
      <w:pPr>
        <w:numPr>
          <w:ilvl w:val="0"/>
          <w:numId w:val="16"/>
        </w:numPr>
        <w:tabs>
          <w:tab w:val="left" w:pos="720"/>
        </w:tabs>
        <w:spacing w:line="360" w:lineRule="auto"/>
        <w:rPr>
          <w:rFonts w:ascii="宋体" w:hAnsi="宋体" w:cs="宋体"/>
          <w:sz w:val="24"/>
          <w:highlight w:val="none"/>
        </w:rPr>
      </w:pPr>
      <w:r>
        <w:rPr>
          <w:rFonts w:hint="eastAsia" w:ascii="宋体" w:hAnsi="宋体" w:cs="宋体"/>
          <w:sz w:val="24"/>
          <w:highlight w:val="none"/>
        </w:rPr>
        <w:t>获证客户名称、住所变更；</w:t>
      </w:r>
    </w:p>
    <w:p>
      <w:pPr>
        <w:numPr>
          <w:ilvl w:val="0"/>
          <w:numId w:val="16"/>
        </w:numPr>
        <w:tabs>
          <w:tab w:val="left" w:pos="720"/>
        </w:tabs>
        <w:spacing w:line="360" w:lineRule="auto"/>
        <w:rPr>
          <w:rFonts w:ascii="宋体" w:hAnsi="宋体" w:cs="宋体"/>
          <w:sz w:val="24"/>
          <w:highlight w:val="none"/>
        </w:rPr>
      </w:pPr>
      <w:r>
        <w:rPr>
          <w:rFonts w:hint="eastAsia" w:ascii="宋体" w:hAnsi="宋体" w:cs="宋体"/>
          <w:sz w:val="24"/>
          <w:highlight w:val="none"/>
        </w:rPr>
        <w:t>认证地址变更；</w:t>
      </w:r>
    </w:p>
    <w:p>
      <w:pPr>
        <w:numPr>
          <w:ilvl w:val="0"/>
          <w:numId w:val="16"/>
        </w:numPr>
        <w:tabs>
          <w:tab w:val="left" w:pos="720"/>
        </w:tabs>
        <w:spacing w:line="360" w:lineRule="auto"/>
        <w:rPr>
          <w:rFonts w:ascii="宋体" w:hAnsi="宋体" w:cs="宋体"/>
          <w:sz w:val="24"/>
          <w:highlight w:val="none"/>
        </w:rPr>
      </w:pPr>
      <w:r>
        <w:rPr>
          <w:rFonts w:hint="eastAsia" w:ascii="宋体" w:hAnsi="宋体" w:cs="宋体"/>
          <w:sz w:val="24"/>
          <w:highlight w:val="none"/>
        </w:rPr>
        <w:t>地名变更；</w:t>
      </w:r>
    </w:p>
    <w:p>
      <w:pPr>
        <w:numPr>
          <w:ilvl w:val="0"/>
          <w:numId w:val="16"/>
        </w:numPr>
        <w:tabs>
          <w:tab w:val="left" w:pos="720"/>
        </w:tabs>
        <w:spacing w:line="360" w:lineRule="auto"/>
        <w:rPr>
          <w:rFonts w:ascii="宋体" w:hAnsi="宋体" w:cs="宋体"/>
          <w:sz w:val="24"/>
          <w:highlight w:val="none"/>
        </w:rPr>
      </w:pPr>
      <w:r>
        <w:rPr>
          <w:rFonts w:hint="eastAsia" w:ascii="宋体" w:hAnsi="宋体" w:cs="宋体"/>
          <w:sz w:val="24"/>
          <w:highlight w:val="none"/>
        </w:rPr>
        <w:t>企业人数变更，证书编号变更；</w:t>
      </w:r>
    </w:p>
    <w:p>
      <w:pPr>
        <w:numPr>
          <w:ilvl w:val="0"/>
          <w:numId w:val="16"/>
        </w:numPr>
        <w:tabs>
          <w:tab w:val="left" w:pos="720"/>
        </w:tabs>
        <w:spacing w:line="360" w:lineRule="auto"/>
        <w:rPr>
          <w:rFonts w:ascii="宋体" w:hAnsi="宋体" w:cs="宋体"/>
          <w:sz w:val="24"/>
          <w:highlight w:val="none"/>
        </w:rPr>
      </w:pPr>
      <w:r>
        <w:rPr>
          <w:rFonts w:hint="eastAsia" w:ascii="宋体" w:hAnsi="宋体" w:cs="宋体"/>
          <w:sz w:val="24"/>
          <w:highlight w:val="none"/>
        </w:rPr>
        <w:t>证书范围中的过程或活动的变更。</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.6.2变更认证信息的程序</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7"/>
        </w:numPr>
        <w:spacing w:line="360" w:lineRule="auto"/>
        <w:ind w:left="744" w:leftChars="200" w:hanging="324" w:hangingChars="13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7"/>
        </w:numPr>
        <w:spacing w:line="360" w:lineRule="auto"/>
        <w:ind w:left="744" w:leftChars="200" w:hanging="324" w:hangingChars="135"/>
        <w:rPr>
          <w:rFonts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7"/>
        </w:numPr>
        <w:spacing w:line="360" w:lineRule="auto"/>
        <w:ind w:left="744" w:leftChars="200" w:hanging="324" w:hangingChars="135"/>
        <w:rPr>
          <w:rFonts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7"/>
        </w:numPr>
        <w:spacing w:line="360" w:lineRule="auto"/>
        <w:ind w:left="744" w:leftChars="200" w:hanging="324" w:hangingChars="13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.6.2.1.2认证地址变更需要提交的资料</w:t>
      </w:r>
    </w:p>
    <w:p>
      <w:pPr>
        <w:numPr>
          <w:ilvl w:val="0"/>
          <w:numId w:val="18"/>
        </w:numPr>
        <w:spacing w:line="360" w:lineRule="auto"/>
        <w:ind w:left="757" w:leftChars="202" w:hanging="333" w:hangingChars="139"/>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8"/>
        </w:numPr>
        <w:spacing w:line="360" w:lineRule="auto"/>
        <w:ind w:left="757" w:leftChars="202" w:hanging="333" w:hangingChars="139"/>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.6.2.1.3 地名、邮编变更需要提交的资料</w:t>
      </w:r>
    </w:p>
    <w:p>
      <w:pPr>
        <w:numPr>
          <w:ilvl w:val="0"/>
          <w:numId w:val="19"/>
        </w:numPr>
        <w:spacing w:line="360" w:lineRule="auto"/>
        <w:ind w:left="716" w:leftChars="202" w:hanging="292" w:hangingChars="122"/>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r>
        <w:rPr>
          <w:rFonts w:hint="eastAsia" w:ascii="宋体" w:hAnsi="宋体"/>
          <w:sz w:val="24"/>
          <w:highlight w:val="none"/>
        </w:rPr>
        <w:t>；</w:t>
      </w:r>
    </w:p>
    <w:p>
      <w:pPr>
        <w:numPr>
          <w:ilvl w:val="0"/>
          <w:numId w:val="19"/>
        </w:numPr>
        <w:spacing w:line="360" w:lineRule="auto"/>
        <w:ind w:left="716" w:leftChars="202" w:hanging="292" w:hangingChars="122"/>
        <w:rPr>
          <w:rFonts w:ascii="宋体" w:hAnsi="宋体"/>
          <w:sz w:val="24"/>
          <w:highlight w:val="none"/>
        </w:rPr>
      </w:pPr>
      <w:r>
        <w:rPr>
          <w:rFonts w:hint="eastAsia" w:ascii="宋体" w:hAnsi="宋体"/>
          <w:sz w:val="24"/>
          <w:highlight w:val="none"/>
        </w:rPr>
        <w:t>当地政府的相关证明；</w:t>
      </w:r>
    </w:p>
    <w:p>
      <w:pPr>
        <w:numPr>
          <w:ilvl w:val="0"/>
          <w:numId w:val="19"/>
        </w:numPr>
        <w:spacing w:line="360" w:lineRule="auto"/>
        <w:ind w:left="716" w:leftChars="202" w:hanging="292" w:hangingChars="122"/>
        <w:rPr>
          <w:rFonts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.6.2.1.5 证书范围中的产品、服务、活动的变更需要提交的资料</w:t>
      </w:r>
    </w:p>
    <w:p>
      <w:pPr>
        <w:numPr>
          <w:ilvl w:val="0"/>
          <w:numId w:val="20"/>
        </w:numPr>
        <w:spacing w:line="360" w:lineRule="auto"/>
        <w:ind w:left="716" w:leftChars="202" w:hanging="292" w:hangingChars="122"/>
        <w:rPr>
          <w:rFonts w:ascii="宋体" w:hAnsi="宋体"/>
          <w:sz w:val="24"/>
          <w:highlight w:val="none"/>
        </w:rPr>
      </w:pPr>
      <w:r>
        <w:rPr>
          <w:rFonts w:hint="eastAsia" w:ascii="宋体" w:hAnsi="宋体"/>
          <w:sz w:val="24"/>
          <w:highlight w:val="none"/>
        </w:rPr>
        <w:t>获证客户的书面变更申请；</w:t>
      </w:r>
    </w:p>
    <w:p>
      <w:pPr>
        <w:numPr>
          <w:ilvl w:val="0"/>
          <w:numId w:val="20"/>
        </w:numPr>
        <w:spacing w:line="360" w:lineRule="auto"/>
        <w:ind w:left="716" w:leftChars="202" w:hanging="292" w:hangingChars="122"/>
        <w:rPr>
          <w:rFonts w:ascii="宋体" w:hAnsi="宋体"/>
          <w:sz w:val="24"/>
          <w:highlight w:val="none"/>
        </w:rPr>
      </w:pPr>
      <w:r>
        <w:rPr>
          <w:rFonts w:hint="eastAsia" w:ascii="宋体" w:hAnsi="宋体"/>
          <w:sz w:val="24"/>
          <w:highlight w:val="none"/>
        </w:rPr>
        <w:t>对有行政许可、资质等要求的认证范围，还应提供相应文件复印件。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.6.2.2 认证信息变更的办理流程</w:t>
      </w:r>
    </w:p>
    <w:p>
      <w:pPr>
        <w:numPr>
          <w:ilvl w:val="0"/>
          <w:numId w:val="21"/>
        </w:numPr>
        <w:spacing w:line="360" w:lineRule="auto"/>
        <w:ind w:left="716" w:leftChars="202" w:hanging="292" w:hangingChars="122"/>
        <w:rPr>
          <w:rFonts w:ascii="宋体" w:hAnsi="宋体"/>
          <w:sz w:val="24"/>
          <w:highlight w:val="none"/>
        </w:rPr>
      </w:pPr>
      <w:r>
        <w:rPr>
          <w:rFonts w:hint="eastAsia" w:ascii="宋体" w:hAnsi="宋体"/>
          <w:sz w:val="24"/>
          <w:highlight w:val="none"/>
        </w:rPr>
        <w:t>获证客户根据6.6.1要求向CQM正式提交满足</w:t>
      </w:r>
      <w:r>
        <w:rPr>
          <w:rFonts w:hint="eastAsia" w:ascii="宋体" w:hAnsi="宋体"/>
          <w:bCs/>
          <w:color w:val="000000"/>
          <w:sz w:val="24"/>
          <w:highlight w:val="none"/>
          <w:lang w:val="en-US" w:eastAsia="zh-CN"/>
        </w:rPr>
        <w:t>10</w:t>
      </w:r>
      <w:r>
        <w:rPr>
          <w:rFonts w:hint="eastAsia" w:ascii="宋体" w:hAnsi="宋体"/>
          <w:sz w:val="24"/>
          <w:highlight w:val="none"/>
        </w:rPr>
        <w:t>.6.2.1要求的申请和相关文件资料；</w:t>
      </w:r>
    </w:p>
    <w:p>
      <w:pPr>
        <w:numPr>
          <w:ilvl w:val="0"/>
          <w:numId w:val="21"/>
        </w:numPr>
        <w:spacing w:line="360" w:lineRule="auto"/>
        <w:ind w:left="716" w:leftChars="202" w:hanging="292" w:hangingChars="122"/>
        <w:rPr>
          <w:rFonts w:ascii="宋体" w:hAnsi="宋体"/>
          <w:sz w:val="24"/>
          <w:highlight w:val="none"/>
        </w:rPr>
      </w:pPr>
      <w:r>
        <w:rPr>
          <w:rFonts w:hint="eastAsia" w:ascii="宋体" w:hAnsi="宋体"/>
          <w:sz w:val="24"/>
          <w:highlight w:val="none"/>
        </w:rPr>
        <w:t>需要时，获证客户应接受CQM的审核；</w:t>
      </w:r>
    </w:p>
    <w:p>
      <w:pPr>
        <w:numPr>
          <w:ilvl w:val="0"/>
          <w:numId w:val="21"/>
        </w:numPr>
        <w:spacing w:line="360" w:lineRule="auto"/>
        <w:ind w:left="716" w:leftChars="202" w:hanging="292" w:hangingChars="122"/>
        <w:rPr>
          <w:rFonts w:ascii="宋体" w:hAnsi="宋体"/>
          <w:sz w:val="24"/>
          <w:highlight w:val="none"/>
        </w:rPr>
      </w:pPr>
      <w:r>
        <w:rPr>
          <w:rFonts w:hint="eastAsia" w:ascii="宋体" w:hAnsi="宋体"/>
          <w:sz w:val="24"/>
          <w:highlight w:val="none"/>
        </w:rPr>
        <w:t>经CQM审定，认为获证客户满足认证信息变更的条件，同意批准认证信息变更；</w:t>
      </w:r>
    </w:p>
    <w:p>
      <w:pPr>
        <w:numPr>
          <w:ilvl w:val="0"/>
          <w:numId w:val="21"/>
        </w:numPr>
        <w:spacing w:line="360" w:lineRule="auto"/>
        <w:ind w:left="716" w:leftChars="202" w:hanging="292" w:hangingChars="122"/>
        <w:rPr>
          <w:rFonts w:ascii="宋体" w:hAnsi="宋体"/>
          <w:sz w:val="24"/>
          <w:highlight w:val="none"/>
        </w:rPr>
      </w:pPr>
      <w:r>
        <w:rPr>
          <w:rFonts w:hint="eastAsia" w:ascii="宋体" w:hAnsi="宋体"/>
          <w:sz w:val="24"/>
          <w:highlight w:val="none"/>
        </w:rPr>
        <w:t>CQM收回原认证证书，换发认证证书或附件，认证证书的有效期保持不变。</w:t>
      </w:r>
    </w:p>
    <w:p>
      <w:pPr>
        <w:bidi w:val="0"/>
        <w:rPr>
          <w:rFonts w:hint="eastAsia" w:ascii="Times New Roman" w:hAnsi="Times New Roman" w:eastAsia="宋体" w:cs="Times New Roman"/>
          <w:b/>
          <w:bCs/>
          <w:sz w:val="24"/>
          <w:szCs w:val="32"/>
          <w:highlight w:val="none"/>
          <w:lang w:val="en-US" w:eastAsia="zh-CN"/>
        </w:rPr>
      </w:pPr>
      <w:bookmarkStart w:id="125" w:name="_Toc85256257"/>
      <w:bookmarkStart w:id="126" w:name="_Toc85103632"/>
      <w:bookmarkStart w:id="127" w:name="_Toc85105521"/>
      <w:bookmarkStart w:id="128" w:name="_Toc185325635"/>
      <w:bookmarkStart w:id="129" w:name="_Toc444776342"/>
      <w:r>
        <w:rPr>
          <w:rFonts w:hint="eastAsia" w:ascii="Times New Roman" w:hAnsi="Times New Roman" w:eastAsia="宋体" w:cs="Times New Roman"/>
          <w:b/>
          <w:bCs/>
          <w:sz w:val="24"/>
          <w:szCs w:val="32"/>
          <w:highlight w:val="none"/>
          <w:lang w:val="en-US" w:eastAsia="zh-CN"/>
        </w:rPr>
        <w:t>10.7 暂停认证资格的条件</w:t>
      </w:r>
      <w:bookmarkEnd w:id="125"/>
      <w:bookmarkEnd w:id="126"/>
      <w:bookmarkEnd w:id="127"/>
      <w:r>
        <w:rPr>
          <w:rFonts w:hint="eastAsia" w:ascii="Times New Roman" w:hAnsi="Times New Roman" w:eastAsia="宋体" w:cs="Times New Roman"/>
          <w:b/>
          <w:bCs/>
          <w:sz w:val="24"/>
          <w:szCs w:val="32"/>
          <w:highlight w:val="none"/>
          <w:lang w:val="en-US" w:eastAsia="zh-CN"/>
        </w:rPr>
        <w:t>和程序</w:t>
      </w:r>
      <w:bookmarkEnd w:id="128"/>
      <w:bookmarkEnd w:id="129"/>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numPr>
          <w:ilvl w:val="0"/>
          <w:numId w:val="22"/>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获证客户创新管理体系持续或严重不满足认证要求，包括对创新管理体系运行有效性要求的。</w:t>
      </w:r>
    </w:p>
    <w:p>
      <w:pPr>
        <w:pStyle w:val="10"/>
        <w:numPr>
          <w:ilvl w:val="0"/>
          <w:numId w:val="22"/>
        </w:numPr>
        <w:tabs>
          <w:tab w:val="left" w:pos="709"/>
          <w:tab w:val="clear" w:pos="1050"/>
        </w:tabs>
        <w:spacing w:after="0" w:line="360" w:lineRule="auto"/>
        <w:ind w:left="709" w:leftChars="0" w:hanging="349"/>
        <w:rPr>
          <w:rFonts w:ascii="宋体" w:hAnsi="宋体" w:cs="宋体"/>
          <w:sz w:val="24"/>
          <w:highlight w:val="none"/>
        </w:rPr>
      </w:pPr>
      <w:r>
        <w:rPr>
          <w:rFonts w:hint="eastAsia" w:ascii="宋体" w:hAnsi="宋体" w:cs="宋体"/>
          <w:sz w:val="24"/>
          <w:highlight w:val="none"/>
        </w:rPr>
        <w:t>获证客户不承担、履行认证合同约定的责任和义务。</w:t>
      </w:r>
    </w:p>
    <w:p>
      <w:pPr>
        <w:pStyle w:val="10"/>
        <w:numPr>
          <w:ilvl w:val="0"/>
          <w:numId w:val="22"/>
        </w:numPr>
        <w:tabs>
          <w:tab w:val="left" w:pos="709"/>
          <w:tab w:val="clear" w:pos="1050"/>
        </w:tabs>
        <w:spacing w:after="0" w:line="360" w:lineRule="auto"/>
        <w:ind w:left="709" w:leftChars="0" w:hanging="349"/>
        <w:rPr>
          <w:rFonts w:ascii="宋体" w:hAnsi="宋体" w:cs="宋体"/>
          <w:sz w:val="24"/>
          <w:highlight w:val="none"/>
        </w:rPr>
      </w:pPr>
      <w:r>
        <w:rPr>
          <w:rFonts w:hint="eastAsia" w:ascii="宋体" w:hAnsi="宋体" w:cs="宋体"/>
          <w:sz w:val="24"/>
          <w:highlight w:val="none"/>
        </w:rPr>
        <w:t>获证客户在证书有效期间受到相关执法监管部门处罚。</w:t>
      </w:r>
    </w:p>
    <w:p>
      <w:pPr>
        <w:pStyle w:val="10"/>
        <w:numPr>
          <w:ilvl w:val="0"/>
          <w:numId w:val="22"/>
        </w:numPr>
        <w:tabs>
          <w:tab w:val="left" w:pos="709"/>
          <w:tab w:val="clear" w:pos="1050"/>
        </w:tabs>
        <w:spacing w:after="0" w:line="360" w:lineRule="auto"/>
        <w:ind w:left="709" w:leftChars="0" w:hanging="349"/>
        <w:rPr>
          <w:rFonts w:ascii="宋体" w:hAnsi="宋体" w:cs="宋体"/>
          <w:sz w:val="24"/>
          <w:highlight w:val="none"/>
        </w:rPr>
      </w:pPr>
      <w:r>
        <w:rPr>
          <w:rFonts w:hint="eastAsia" w:ascii="宋体" w:hAnsi="宋体" w:cs="宋体"/>
          <w:sz w:val="24"/>
          <w:highlight w:val="none"/>
        </w:rPr>
        <w:t>获证客户被地方认证监管部门发现体系运行存在问题。</w:t>
      </w:r>
    </w:p>
    <w:p>
      <w:pPr>
        <w:pStyle w:val="10"/>
        <w:numPr>
          <w:ilvl w:val="0"/>
          <w:numId w:val="22"/>
        </w:numPr>
        <w:tabs>
          <w:tab w:val="left" w:pos="709"/>
          <w:tab w:val="clear" w:pos="1050"/>
        </w:tabs>
        <w:spacing w:after="0" w:line="360" w:lineRule="auto"/>
        <w:ind w:left="709" w:leftChars="0" w:hanging="349"/>
        <w:rPr>
          <w:rFonts w:ascii="宋体" w:hAnsi="宋体" w:cs="宋体"/>
          <w:sz w:val="24"/>
          <w:highlight w:val="none"/>
        </w:rPr>
      </w:pPr>
      <w:r>
        <w:rPr>
          <w:rFonts w:hint="eastAsia" w:ascii="宋体" w:hAnsi="宋体" w:cs="宋体"/>
          <w:sz w:val="24"/>
          <w:highlight w:val="none"/>
        </w:rPr>
        <w:t>获证客户持有的与创新管理体系范围有关的行政许可证明、资质证书、强制性认证证书等过期失效，重新提交的申请已被受理但尚未换证。</w:t>
      </w:r>
    </w:p>
    <w:p>
      <w:pPr>
        <w:pStyle w:val="10"/>
        <w:numPr>
          <w:ilvl w:val="0"/>
          <w:numId w:val="22"/>
        </w:numPr>
        <w:tabs>
          <w:tab w:val="left" w:pos="709"/>
          <w:tab w:val="clear" w:pos="1050"/>
        </w:tabs>
        <w:spacing w:after="0" w:line="360" w:lineRule="auto"/>
        <w:ind w:left="709" w:leftChars="0" w:hanging="349"/>
        <w:rPr>
          <w:rFonts w:ascii="宋体" w:hAnsi="宋体" w:cs="宋体"/>
          <w:sz w:val="24"/>
          <w:highlight w:val="none"/>
        </w:rPr>
      </w:pPr>
      <w:r>
        <w:rPr>
          <w:rFonts w:hint="eastAsia" w:ascii="宋体" w:hAnsi="宋体" w:cs="宋体"/>
          <w:sz w:val="24"/>
          <w:highlight w:val="none"/>
        </w:rPr>
        <w:t>获证客户主动请求暂停。</w:t>
      </w:r>
    </w:p>
    <w:p>
      <w:pPr>
        <w:pStyle w:val="10"/>
        <w:numPr>
          <w:ilvl w:val="0"/>
          <w:numId w:val="22"/>
        </w:numPr>
        <w:tabs>
          <w:tab w:val="left" w:pos="709"/>
          <w:tab w:val="clear" w:pos="1050"/>
        </w:tabs>
        <w:spacing w:after="0" w:line="360" w:lineRule="auto"/>
        <w:ind w:left="709" w:leftChars="0" w:hanging="349"/>
        <w:rPr>
          <w:rFonts w:ascii="宋体" w:hAnsi="宋体" w:cs="宋体"/>
          <w:sz w:val="24"/>
          <w:highlight w:val="none"/>
        </w:rPr>
      </w:pPr>
      <w:r>
        <w:rPr>
          <w:rFonts w:hint="eastAsia" w:ascii="宋体" w:hAnsi="宋体" w:cs="宋体"/>
          <w:sz w:val="24"/>
          <w:highlight w:val="none"/>
        </w:rPr>
        <w:t>获证客户发生了与违反国家法律法规的重大事故，反映出获证客户的体系建立及运行存在重大缺陷。</w:t>
      </w:r>
    </w:p>
    <w:p>
      <w:pPr>
        <w:numPr>
          <w:ilvl w:val="0"/>
          <w:numId w:val="22"/>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其他原因需要暂停证书。</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.7.2 暂停认证资格的程序</w:t>
      </w:r>
    </w:p>
    <w:p>
      <w:pPr>
        <w:numPr>
          <w:ilvl w:val="0"/>
          <w:numId w:val="23"/>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3"/>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必要时，CQM与获证客户沟通，核实证据；</w:t>
      </w:r>
    </w:p>
    <w:p>
      <w:pPr>
        <w:numPr>
          <w:ilvl w:val="0"/>
          <w:numId w:val="23"/>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认证处置决定通知书》并公告；</w:t>
      </w:r>
    </w:p>
    <w:p>
      <w:pPr>
        <w:numPr>
          <w:ilvl w:val="0"/>
          <w:numId w:val="23"/>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获证客户按照《体系认证证书、标志标识使用规则》停止使用认证证书和认证标志, 在暂停期间，客户的管理体系认证暂时无效。</w:t>
      </w:r>
    </w:p>
    <w:p>
      <w:pPr>
        <w:bidi w:val="0"/>
        <w:rPr>
          <w:rFonts w:hint="eastAsia" w:ascii="Times New Roman" w:hAnsi="Times New Roman" w:eastAsia="宋体" w:cs="Times New Roman"/>
          <w:b/>
          <w:bCs/>
          <w:sz w:val="24"/>
          <w:szCs w:val="32"/>
          <w:highlight w:val="none"/>
          <w:lang w:val="en-US" w:eastAsia="zh-CN"/>
        </w:rPr>
      </w:pPr>
      <w:bookmarkStart w:id="130" w:name="_Toc85105522"/>
      <w:bookmarkStart w:id="131" w:name="_Toc85103633"/>
      <w:bookmarkStart w:id="132" w:name="_Toc85256258"/>
      <w:bookmarkStart w:id="133" w:name="_Toc185325636"/>
      <w:bookmarkStart w:id="134" w:name="_Toc444776343"/>
      <w:r>
        <w:rPr>
          <w:rFonts w:hint="eastAsia" w:ascii="Times New Roman" w:hAnsi="Times New Roman" w:eastAsia="宋体" w:cs="Times New Roman"/>
          <w:b/>
          <w:bCs/>
          <w:sz w:val="24"/>
          <w:szCs w:val="32"/>
          <w:highlight w:val="none"/>
          <w:lang w:val="en-US" w:eastAsia="zh-CN"/>
        </w:rPr>
        <w:t>10.8 恢复认证资格的条件</w:t>
      </w:r>
      <w:bookmarkEnd w:id="130"/>
      <w:bookmarkEnd w:id="131"/>
      <w:bookmarkEnd w:id="132"/>
      <w:r>
        <w:rPr>
          <w:rFonts w:hint="eastAsia" w:ascii="Times New Roman" w:hAnsi="Times New Roman" w:eastAsia="宋体" w:cs="Times New Roman"/>
          <w:b/>
          <w:bCs/>
          <w:sz w:val="24"/>
          <w:szCs w:val="32"/>
          <w:highlight w:val="none"/>
          <w:lang w:val="en-US" w:eastAsia="zh-CN"/>
        </w:rPr>
        <w:t>和程序</w:t>
      </w:r>
      <w:bookmarkEnd w:id="133"/>
      <w:bookmarkEnd w:id="134"/>
    </w:p>
    <w:p>
      <w:pPr>
        <w:spacing w:line="360" w:lineRule="auto"/>
        <w:rPr>
          <w:bCs/>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ascii="宋体" w:hAnsi="宋体"/>
          <w:sz w:val="24"/>
          <w:highlight w:val="none"/>
        </w:rPr>
      </w:pPr>
      <w:r>
        <w:rPr>
          <w:rFonts w:hint="eastAsia" w:ascii="宋体" w:hAnsi="宋体"/>
          <w:bCs/>
          <w:color w:val="000000"/>
          <w:sz w:val="24"/>
          <w:highlight w:val="none"/>
          <w:lang w:val="en-US" w:eastAsia="zh-CN"/>
        </w:rPr>
        <w:t>10</w:t>
      </w:r>
      <w:r>
        <w:rPr>
          <w:rFonts w:hint="eastAsia" w:ascii="宋体" w:hAnsi="宋体"/>
          <w:sz w:val="24"/>
          <w:highlight w:val="none"/>
        </w:rPr>
        <w:t>.8.2 恢复认证资格的程序</w:t>
      </w:r>
    </w:p>
    <w:p>
      <w:pPr>
        <w:numPr>
          <w:ilvl w:val="0"/>
          <w:numId w:val="2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2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2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bookmarkEnd w:id="93"/>
    <w:bookmarkEnd w:id="94"/>
    <w:bookmarkEnd w:id="95"/>
    <w:bookmarkEnd w:id="96"/>
    <w:bookmarkEnd w:id="97"/>
    <w:bookmarkEnd w:id="98"/>
    <w:bookmarkEnd w:id="99"/>
    <w:p>
      <w:pPr>
        <w:bidi w:val="0"/>
        <w:rPr>
          <w:rFonts w:hint="eastAsia" w:ascii="Times New Roman" w:hAnsi="Times New Roman" w:eastAsia="宋体" w:cs="Times New Roman"/>
          <w:b/>
          <w:bCs/>
          <w:sz w:val="24"/>
          <w:szCs w:val="32"/>
          <w:highlight w:val="none"/>
          <w:lang w:val="en-US" w:eastAsia="zh-CN"/>
        </w:rPr>
      </w:pPr>
      <w:bookmarkStart w:id="135" w:name="_Toc85103635"/>
      <w:bookmarkStart w:id="136" w:name="_Toc85256260"/>
      <w:bookmarkStart w:id="137" w:name="_Toc85105524"/>
      <w:bookmarkStart w:id="138" w:name="_Toc185325638"/>
      <w:bookmarkStart w:id="139" w:name="_Toc444776345"/>
      <w:r>
        <w:rPr>
          <w:rFonts w:hint="eastAsia" w:ascii="Times New Roman" w:hAnsi="Times New Roman" w:eastAsia="宋体" w:cs="Times New Roman"/>
          <w:b/>
          <w:bCs/>
          <w:sz w:val="24"/>
          <w:szCs w:val="32"/>
          <w:highlight w:val="none"/>
          <w:lang w:val="en-US" w:eastAsia="zh-CN"/>
        </w:rPr>
        <w:t>10.9 撤销认证资格的条件</w:t>
      </w:r>
      <w:bookmarkEnd w:id="135"/>
      <w:bookmarkEnd w:id="136"/>
      <w:bookmarkEnd w:id="137"/>
      <w:r>
        <w:rPr>
          <w:rFonts w:hint="eastAsia" w:ascii="Times New Roman" w:hAnsi="Times New Roman" w:eastAsia="宋体" w:cs="Times New Roman"/>
          <w:b/>
          <w:bCs/>
          <w:sz w:val="24"/>
          <w:szCs w:val="32"/>
          <w:highlight w:val="none"/>
          <w:lang w:val="en-US" w:eastAsia="zh-CN"/>
        </w:rPr>
        <w:t>和程序</w:t>
      </w:r>
      <w:bookmarkEnd w:id="138"/>
      <w:bookmarkEnd w:id="139"/>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获证客户审核未通过。</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获证客户被注销或撤销法律地位证明文件。</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获证客户拒绝配合认证监管部门实施的监督检查，或者对有关事项的询问和调查提供了虚假材料或信息。</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被相关政府主管部门认定存在严重违法失信行为的。</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获证客户在证书有效期间有其他严重违反法律法规行为，受到相关执法监管部门处罚。</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获证客户暂停认证证书的期限已满但导致暂停的问题未得到解决或纠正。</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获证客户没有运行管理体系或者已不具备运行条件。</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获证客户不按相关规定正确引用和宣传获得的认证信息，造成严重影响或后果。</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获证客户发生了重大事故，反映出获证客户的体系建立及运行存在重大缺陷。</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获证客户因换发新证而撤销旧证书。</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获证客户不承担、履行认证合同约定的责任和义务。</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获证客户主动放弃认证。</w:t>
      </w:r>
    </w:p>
    <w:p>
      <w:pPr>
        <w:numPr>
          <w:ilvl w:val="0"/>
          <w:numId w:val="2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其他原因需要撤销证书。</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ascii="宋体" w:hAnsi="宋体"/>
          <w:sz w:val="24"/>
          <w:highlight w:val="none"/>
        </w:rPr>
      </w:pPr>
      <w:r>
        <w:rPr>
          <w:rFonts w:hint="eastAsia" w:ascii="宋体" w:hAnsi="宋体"/>
          <w:sz w:val="24"/>
          <w:highlight w:val="none"/>
        </w:rPr>
        <w:t>经</w:t>
      </w:r>
      <w:r>
        <w:rPr>
          <w:rFonts w:hint="eastAsia" w:ascii="宋体" w:hAnsi="宋体"/>
          <w:bCs/>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并公告，认证客户不得再使用认证证书和认证标志。</w:t>
      </w:r>
    </w:p>
    <w:p>
      <w:pPr>
        <w:spacing w:line="360" w:lineRule="auto"/>
        <w:ind w:firstLine="480" w:firstLineChars="200"/>
        <w:jc w:val="left"/>
        <w:rPr>
          <w:rFonts w:ascii="宋体" w:hAnsi="宋体"/>
          <w:sz w:val="24"/>
          <w:highlight w:val="none"/>
        </w:rPr>
      </w:pPr>
    </w:p>
    <w:p>
      <w:pPr>
        <w:pStyle w:val="2"/>
        <w:spacing w:line="360" w:lineRule="auto"/>
        <w:rPr>
          <w:rFonts w:ascii="宋体" w:hAnsi="宋体"/>
          <w:highlight w:val="none"/>
        </w:rPr>
      </w:pPr>
      <w:bookmarkStart w:id="140" w:name="_Toc185325639"/>
      <w:bookmarkStart w:id="141" w:name="_Toc85103636"/>
      <w:bookmarkStart w:id="142" w:name="_Toc85256261"/>
      <w:bookmarkStart w:id="143" w:name="_Toc32588"/>
      <w:bookmarkStart w:id="144" w:name="_Toc85105525"/>
      <w:r>
        <w:rPr>
          <w:rFonts w:hint="eastAsia" w:ascii="宋体" w:hAnsi="宋体"/>
          <w:highlight w:val="none"/>
          <w:lang w:val="en-US" w:eastAsia="zh-CN"/>
        </w:rPr>
        <w:t>11</w:t>
      </w:r>
      <w:r>
        <w:rPr>
          <w:rFonts w:hint="eastAsia" w:ascii="宋体" w:hAnsi="宋体"/>
          <w:highlight w:val="none"/>
        </w:rPr>
        <w:t xml:space="preserve"> 认证证书和认证标志</w:t>
      </w:r>
      <w:bookmarkEnd w:id="140"/>
      <w:bookmarkEnd w:id="141"/>
      <w:bookmarkEnd w:id="142"/>
      <w:bookmarkEnd w:id="143"/>
      <w:bookmarkEnd w:id="144"/>
    </w:p>
    <w:p>
      <w:pPr>
        <w:bidi w:val="0"/>
        <w:rPr>
          <w:rFonts w:hint="eastAsia" w:ascii="Times New Roman" w:hAnsi="Times New Roman" w:eastAsia="宋体" w:cs="Times New Roman"/>
          <w:b/>
          <w:bCs/>
          <w:sz w:val="24"/>
          <w:szCs w:val="32"/>
          <w:highlight w:val="none"/>
          <w:lang w:val="en-US" w:eastAsia="zh-CN"/>
        </w:rPr>
      </w:pPr>
      <w:bookmarkStart w:id="145" w:name="_Toc85256262"/>
      <w:bookmarkStart w:id="146" w:name="_Toc85103637"/>
      <w:bookmarkStart w:id="147" w:name="_Toc185325640"/>
      <w:bookmarkStart w:id="148" w:name="_Toc444776347"/>
      <w:bookmarkStart w:id="149" w:name="_Toc85105526"/>
      <w:r>
        <w:rPr>
          <w:rFonts w:hint="eastAsia" w:ascii="Times New Roman" w:hAnsi="Times New Roman" w:eastAsia="宋体" w:cs="Times New Roman"/>
          <w:b/>
          <w:bCs/>
          <w:sz w:val="24"/>
          <w:szCs w:val="32"/>
          <w:highlight w:val="none"/>
          <w:lang w:val="en-US" w:eastAsia="zh-CN"/>
        </w:rPr>
        <w:t>11.1 认证证书和认证标志</w:t>
      </w:r>
      <w:bookmarkEnd w:id="145"/>
      <w:bookmarkEnd w:id="146"/>
      <w:bookmarkEnd w:id="147"/>
      <w:bookmarkEnd w:id="148"/>
      <w:bookmarkEnd w:id="149"/>
    </w:p>
    <w:p>
      <w:pPr>
        <w:spacing w:line="360" w:lineRule="auto"/>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.1.1 认证证书</w:t>
      </w:r>
    </w:p>
    <w:p>
      <w:pPr>
        <w:spacing w:line="360" w:lineRule="auto"/>
        <w:ind w:firstLine="480" w:firstLineChars="200"/>
        <w:rPr>
          <w:rFonts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.1.2 认证标志</w:t>
      </w:r>
    </w:p>
    <w:p>
      <w:pPr>
        <w:spacing w:line="360" w:lineRule="auto"/>
        <w:ind w:firstLine="481" w:firstLineChars="200"/>
        <w:rPr>
          <w:rFonts w:ascii="宋体" w:hAnsi="宋体"/>
          <w:sz w:val="24"/>
          <w:highlight w:val="none"/>
        </w:rPr>
      </w:pPr>
      <w:r>
        <w:rPr>
          <w:rFonts w:ascii="宋体" w:hAnsi="宋体"/>
          <w:b/>
          <w:bCs/>
          <w:sz w:val="24"/>
          <w:highlight w:val="none"/>
        </w:rPr>
        <w:drawing>
          <wp:inline distT="0" distB="0" distL="0" distR="0">
            <wp:extent cx="885825" cy="885825"/>
            <wp:effectExtent l="0" t="0" r="7620" b="7620"/>
            <wp:docPr id="24" name="图片 13" descr="R标体系.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13" descr="R标体系.png"/>
                    <pic:cNvPicPr>
                      <a:picLocks noChangeAspect="true"/>
                    </pic:cNvPicPr>
                  </pic:nvPicPr>
                  <pic:blipFill>
                    <a:blip r:embed="rId13" cstate="print"/>
                    <a:stretch>
                      <a:fillRect/>
                    </a:stretch>
                  </pic:blipFill>
                  <pic:spPr>
                    <a:xfrm>
                      <a:off x="0" y="0"/>
                      <a:ext cx="885714" cy="885714"/>
                    </a:xfrm>
                    <a:prstGeom prst="rect">
                      <a:avLst/>
                    </a:prstGeom>
                  </pic:spPr>
                </pic:pic>
              </a:graphicData>
            </a:graphic>
          </wp:inline>
        </w:drawing>
      </w:r>
    </w:p>
    <w:p>
      <w:pPr>
        <w:bidi w:val="0"/>
        <w:rPr>
          <w:rFonts w:hint="eastAsia" w:ascii="Times New Roman" w:hAnsi="Times New Roman" w:eastAsia="宋体" w:cs="Times New Roman"/>
          <w:b/>
          <w:bCs/>
          <w:sz w:val="24"/>
          <w:szCs w:val="32"/>
          <w:highlight w:val="none"/>
          <w:lang w:val="en-US" w:eastAsia="zh-CN"/>
        </w:rPr>
      </w:pPr>
      <w:bookmarkStart w:id="150" w:name="_Toc85105527"/>
      <w:bookmarkStart w:id="151" w:name="_Toc185325641"/>
      <w:bookmarkStart w:id="152" w:name="_Toc444776348"/>
      <w:bookmarkStart w:id="153" w:name="_Toc85256263"/>
      <w:r>
        <w:rPr>
          <w:rFonts w:hint="eastAsia" w:ascii="Times New Roman" w:hAnsi="Times New Roman" w:eastAsia="宋体" w:cs="Times New Roman"/>
          <w:b/>
          <w:bCs/>
          <w:sz w:val="24"/>
          <w:szCs w:val="32"/>
          <w:highlight w:val="none"/>
          <w:lang w:val="en-US" w:eastAsia="zh-CN"/>
        </w:rPr>
        <w:t>11.2 认证证书和认证标志的使用</w:t>
      </w:r>
      <w:bookmarkEnd w:id="150"/>
      <w:bookmarkEnd w:id="151"/>
      <w:bookmarkEnd w:id="152"/>
      <w:bookmarkEnd w:id="153"/>
    </w:p>
    <w:p>
      <w:pPr>
        <w:spacing w:line="360" w:lineRule="auto"/>
        <w:ind w:firstLine="480" w:firstLineChars="200"/>
        <w:rPr>
          <w:rFonts w:ascii="宋体" w:hAnsi="宋体"/>
          <w:sz w:val="24"/>
          <w:highlight w:val="none"/>
        </w:rPr>
      </w:pPr>
      <w:r>
        <w:rPr>
          <w:rFonts w:hint="eastAsia" w:ascii="宋体" w:hAnsi="宋体"/>
          <w:sz w:val="24"/>
          <w:highlight w:val="none"/>
        </w:rPr>
        <w:t>获证客户应建立认证证书和认证标志的使用方案，获证后按照《管理体系认证证书、标志标识使用规则</w:t>
      </w:r>
      <w:r>
        <w:rPr>
          <w:rFonts w:ascii="宋体" w:hAnsi="宋体"/>
          <w:sz w:val="24"/>
          <w:highlight w:val="none"/>
        </w:rPr>
        <w:t>》</w:t>
      </w:r>
      <w:r>
        <w:rPr>
          <w:rFonts w:hint="eastAsia" w:ascii="宋体" w:hAnsi="宋体"/>
          <w:sz w:val="24"/>
          <w:highlight w:val="none"/>
        </w:rPr>
        <w:t>正确使用认证证书和认证标志。</w:t>
      </w:r>
    </w:p>
    <w:p>
      <w:pPr>
        <w:bidi w:val="0"/>
        <w:rPr>
          <w:rFonts w:hint="eastAsia" w:ascii="Times New Roman" w:hAnsi="Times New Roman" w:eastAsia="宋体" w:cs="Times New Roman"/>
          <w:b/>
          <w:bCs/>
          <w:sz w:val="24"/>
          <w:szCs w:val="32"/>
          <w:highlight w:val="none"/>
          <w:lang w:val="en-US" w:eastAsia="zh-CN"/>
        </w:rPr>
      </w:pPr>
      <w:bookmarkStart w:id="154" w:name="_Toc85105528"/>
      <w:bookmarkStart w:id="155" w:name="_Toc85103638"/>
      <w:bookmarkStart w:id="156" w:name="_Toc85256264"/>
      <w:bookmarkStart w:id="157" w:name="_Toc444776349"/>
      <w:bookmarkStart w:id="158" w:name="_Toc185325642"/>
      <w:r>
        <w:rPr>
          <w:rFonts w:hint="eastAsia" w:ascii="Times New Roman" w:hAnsi="Times New Roman" w:eastAsia="宋体" w:cs="Times New Roman"/>
          <w:b/>
          <w:bCs/>
          <w:sz w:val="24"/>
          <w:szCs w:val="32"/>
          <w:highlight w:val="none"/>
          <w:lang w:val="en-US" w:eastAsia="zh-CN"/>
        </w:rPr>
        <w:t>11.3 认证证书和认证标志的误用</w:t>
      </w:r>
      <w:bookmarkEnd w:id="154"/>
      <w:bookmarkEnd w:id="155"/>
      <w:bookmarkEnd w:id="156"/>
      <w:bookmarkEnd w:id="157"/>
      <w:bookmarkEnd w:id="158"/>
    </w:p>
    <w:p>
      <w:pPr>
        <w:spacing w:line="360" w:lineRule="auto"/>
        <w:ind w:firstLine="480" w:firstLineChars="200"/>
        <w:rPr>
          <w:rFonts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见《管理体系认证证书、标志标识使用规则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bookmarkStart w:id="159" w:name="_Toc33600430"/>
      <w:bookmarkStart w:id="160" w:name="_Toc33599596"/>
      <w:bookmarkStart w:id="161" w:name="_Toc33599723"/>
      <w:bookmarkStart w:id="162" w:name="_Toc33600386"/>
    </w:p>
    <w:p>
      <w:pPr>
        <w:spacing w:line="360" w:lineRule="auto"/>
        <w:ind w:firstLine="480" w:firstLineChars="200"/>
        <w:rPr>
          <w:rFonts w:ascii="宋体" w:hAnsi="宋体"/>
          <w:sz w:val="24"/>
          <w:highlight w:val="none"/>
        </w:rPr>
      </w:pPr>
    </w:p>
    <w:bookmarkEnd w:id="159"/>
    <w:bookmarkEnd w:id="160"/>
    <w:bookmarkEnd w:id="161"/>
    <w:bookmarkEnd w:id="162"/>
    <w:p>
      <w:pPr>
        <w:pStyle w:val="2"/>
        <w:spacing w:line="360" w:lineRule="auto"/>
        <w:rPr>
          <w:rFonts w:ascii="宋体" w:hAnsi="宋体"/>
          <w:highlight w:val="none"/>
        </w:rPr>
      </w:pPr>
      <w:bookmarkStart w:id="163" w:name="_Toc10565"/>
      <w:bookmarkStart w:id="164" w:name="_Toc185325643"/>
      <w:r>
        <w:rPr>
          <w:rFonts w:hint="eastAsia" w:ascii="宋体" w:hAnsi="宋体"/>
          <w:highlight w:val="none"/>
          <w:lang w:val="en-US" w:eastAsia="zh-CN"/>
        </w:rPr>
        <w:t>12</w:t>
      </w:r>
      <w:r>
        <w:rPr>
          <w:rFonts w:hint="eastAsia" w:ascii="宋体" w:hAnsi="宋体"/>
          <w:highlight w:val="none"/>
        </w:rPr>
        <w:t xml:space="preserve"> 获证客户的信息通报</w:t>
      </w:r>
      <w:bookmarkEnd w:id="163"/>
      <w:bookmarkEnd w:id="164"/>
    </w:p>
    <w:p>
      <w:pPr>
        <w:spacing w:line="360" w:lineRule="auto"/>
        <w:ind w:firstLine="480" w:firstLineChars="200"/>
        <w:rPr>
          <w:rFonts w:ascii="宋体" w:hAnsi="宋体"/>
          <w:sz w:val="24"/>
          <w:highlight w:val="none"/>
        </w:rPr>
      </w:pPr>
      <w:r>
        <w:rPr>
          <w:rFonts w:hint="eastAsia" w:ascii="宋体" w:hAnsi="宋体"/>
          <w:sz w:val="24"/>
          <w:highlight w:val="none"/>
        </w:rPr>
        <w:t>获证客户应建立向方圆通报最新信息的程序，并及时通报其</w:t>
      </w:r>
      <w:r>
        <w:rPr>
          <w:rFonts w:hint="eastAsia" w:ascii="宋体" w:hAnsi="宋体"/>
          <w:sz w:val="24"/>
          <w:highlight w:val="none"/>
          <w:lang w:val="en-US" w:eastAsia="zh-CN"/>
        </w:rPr>
        <w:t>与创新和知识产权相关</w:t>
      </w:r>
      <w:r>
        <w:rPr>
          <w:rFonts w:hint="eastAsia" w:ascii="宋体" w:hAnsi="宋体"/>
          <w:sz w:val="24"/>
          <w:highlight w:val="none"/>
        </w:rPr>
        <w:t>重大</w:t>
      </w:r>
      <w:r>
        <w:rPr>
          <w:rFonts w:hint="eastAsia" w:ascii="宋体" w:hAnsi="宋体"/>
          <w:sz w:val="24"/>
          <w:highlight w:val="none"/>
          <w:lang w:val="en-US" w:eastAsia="zh-CN"/>
        </w:rPr>
        <w:t>诉讼案件</w:t>
      </w:r>
      <w:r>
        <w:rPr>
          <w:rFonts w:hint="eastAsia" w:ascii="宋体" w:hAnsi="宋体"/>
          <w:sz w:val="24"/>
          <w:highlight w:val="none"/>
        </w:rPr>
        <w:t>、国家监督检查结果、创新重大事故及获证客户变更的各种信息等。变更信息包括（但不限于）以下：</w:t>
      </w:r>
    </w:p>
    <w:p>
      <w:pPr>
        <w:numPr>
          <w:ilvl w:val="0"/>
          <w:numId w:val="26"/>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组织名称，组织法人，隶属关系；</w:t>
      </w:r>
    </w:p>
    <w:p>
      <w:pPr>
        <w:numPr>
          <w:ilvl w:val="0"/>
          <w:numId w:val="26"/>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 xml:space="preserve">联系人，联系方式(包括：电话、传真、手机)；        </w:t>
      </w:r>
    </w:p>
    <w:p>
      <w:pPr>
        <w:numPr>
          <w:ilvl w:val="0"/>
          <w:numId w:val="26"/>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 xml:space="preserve">组织地址(包括：注册地址、认证地址、邮编)；   </w:t>
      </w:r>
    </w:p>
    <w:p>
      <w:pPr>
        <w:numPr>
          <w:ilvl w:val="0"/>
          <w:numId w:val="26"/>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 xml:space="preserve">体系覆盖人数；         </w:t>
      </w:r>
    </w:p>
    <w:p>
      <w:pPr>
        <w:numPr>
          <w:ilvl w:val="0"/>
          <w:numId w:val="26"/>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 xml:space="preserve">认证范围变化；  </w:t>
      </w:r>
    </w:p>
    <w:p>
      <w:pPr>
        <w:numPr>
          <w:ilvl w:val="0"/>
          <w:numId w:val="26"/>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 xml:space="preserve">组织机构和职能分配；         </w:t>
      </w:r>
    </w:p>
    <w:p>
      <w:pPr>
        <w:numPr>
          <w:ilvl w:val="0"/>
          <w:numId w:val="26"/>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 xml:space="preserve">证书表述的组织认证场所/生产场；   </w:t>
      </w:r>
    </w:p>
    <w:p>
      <w:pPr>
        <w:numPr>
          <w:ilvl w:val="0"/>
          <w:numId w:val="26"/>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管理体系文件。</w:t>
      </w:r>
    </w:p>
    <w:p>
      <w:pPr>
        <w:spacing w:line="360" w:lineRule="auto"/>
        <w:ind w:firstLine="480" w:firstLineChars="200"/>
        <w:rPr>
          <w:rFonts w:ascii="宋体" w:hAnsi="宋体"/>
          <w:sz w:val="24"/>
          <w:highlight w:val="none"/>
        </w:rPr>
      </w:pPr>
      <w:bookmarkStart w:id="165" w:name="_Toc33599727"/>
      <w:bookmarkStart w:id="166" w:name="_Toc33600434"/>
      <w:bookmarkStart w:id="167" w:name="_Toc33600390"/>
      <w:bookmarkStart w:id="168" w:name="_Toc33599600"/>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w:t>
      </w:r>
    </w:p>
    <w:p>
      <w:pPr>
        <w:spacing w:line="360" w:lineRule="auto"/>
        <w:ind w:firstLine="480" w:firstLineChars="200"/>
        <w:rPr>
          <w:rFonts w:ascii="宋体" w:hAnsi="宋体"/>
          <w:sz w:val="24"/>
          <w:highlight w:val="none"/>
        </w:rPr>
      </w:pPr>
    </w:p>
    <w:bookmarkEnd w:id="165"/>
    <w:bookmarkEnd w:id="166"/>
    <w:bookmarkEnd w:id="167"/>
    <w:bookmarkEnd w:id="168"/>
    <w:p>
      <w:pPr>
        <w:pStyle w:val="2"/>
        <w:spacing w:line="360" w:lineRule="auto"/>
        <w:rPr>
          <w:rFonts w:ascii="宋体" w:hAnsi="宋体"/>
          <w:highlight w:val="none"/>
        </w:rPr>
      </w:pPr>
      <w:bookmarkStart w:id="169" w:name="_Toc33599740"/>
      <w:bookmarkStart w:id="170" w:name="_Toc33599613"/>
      <w:bookmarkStart w:id="171" w:name="_Toc33600403"/>
      <w:bookmarkStart w:id="172" w:name="_Toc33600447"/>
      <w:bookmarkStart w:id="173" w:name="_Toc85103645"/>
      <w:bookmarkStart w:id="174" w:name="_Toc85105535"/>
      <w:bookmarkStart w:id="175" w:name="_Toc185325644"/>
      <w:bookmarkStart w:id="176" w:name="_Toc85256271"/>
      <w:bookmarkStart w:id="177" w:name="_Toc20480"/>
      <w:r>
        <w:rPr>
          <w:rFonts w:hint="eastAsia" w:ascii="宋体" w:hAnsi="宋体"/>
          <w:highlight w:val="none"/>
          <w:lang w:val="en-US" w:eastAsia="zh-CN"/>
        </w:rPr>
        <w:t>13</w:t>
      </w:r>
      <w:r>
        <w:rPr>
          <w:rFonts w:hint="eastAsia" w:ascii="宋体" w:hAnsi="宋体"/>
          <w:highlight w:val="none"/>
        </w:rPr>
        <w:t xml:space="preserve"> 认证要求</w:t>
      </w:r>
      <w:bookmarkEnd w:id="169"/>
      <w:bookmarkEnd w:id="170"/>
      <w:bookmarkEnd w:id="171"/>
      <w:bookmarkEnd w:id="172"/>
      <w:r>
        <w:rPr>
          <w:rFonts w:hint="eastAsia" w:ascii="宋体" w:hAnsi="宋体"/>
          <w:highlight w:val="none"/>
        </w:rPr>
        <w:t>变更</w:t>
      </w:r>
      <w:bookmarkEnd w:id="173"/>
      <w:bookmarkEnd w:id="174"/>
      <w:bookmarkEnd w:id="175"/>
      <w:bookmarkEnd w:id="176"/>
      <w:r>
        <w:rPr>
          <w:rFonts w:hint="eastAsia" w:ascii="宋体" w:hAnsi="宋体"/>
          <w:highlight w:val="none"/>
        </w:rPr>
        <w:t>的条件和程序</w:t>
      </w:r>
      <w:bookmarkEnd w:id="177"/>
    </w:p>
    <w:p>
      <w:pPr>
        <w:bidi w:val="0"/>
        <w:rPr>
          <w:rFonts w:hint="eastAsia" w:ascii="Times New Roman" w:hAnsi="Times New Roman" w:eastAsia="宋体" w:cs="Times New Roman"/>
          <w:b/>
          <w:bCs/>
          <w:sz w:val="24"/>
          <w:szCs w:val="32"/>
          <w:highlight w:val="none"/>
          <w:lang w:val="en-US" w:eastAsia="zh-CN"/>
        </w:rPr>
      </w:pPr>
      <w:bookmarkStart w:id="178" w:name="_Toc444776352"/>
      <w:r>
        <w:rPr>
          <w:rFonts w:hint="eastAsia" w:ascii="Times New Roman" w:hAnsi="Times New Roman" w:eastAsia="宋体" w:cs="Times New Roman"/>
          <w:b/>
          <w:bCs/>
          <w:sz w:val="24"/>
          <w:szCs w:val="32"/>
          <w:highlight w:val="none"/>
          <w:lang w:val="en-US" w:eastAsia="zh-CN"/>
        </w:rPr>
        <w:t>13.1 认证要求变更的条件</w:t>
      </w:r>
      <w:bookmarkEnd w:id="178"/>
    </w:p>
    <w:p>
      <w:pPr>
        <w:numPr>
          <w:ilvl w:val="0"/>
          <w:numId w:val="27"/>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27"/>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27"/>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27"/>
        </w:numPr>
        <w:spacing w:line="360" w:lineRule="auto"/>
        <w:rPr>
          <w:rFonts w:ascii="宋体" w:hAnsi="宋体"/>
          <w:sz w:val="24"/>
          <w:highlight w:val="none"/>
        </w:rPr>
      </w:pPr>
      <w:r>
        <w:rPr>
          <w:rFonts w:hint="eastAsia" w:ascii="宋体" w:hAnsi="宋体"/>
          <w:sz w:val="24"/>
          <w:highlight w:val="none"/>
        </w:rPr>
        <w:t>获证客户的管理体系已满足新的认证要求,且已正常运行。</w:t>
      </w:r>
    </w:p>
    <w:p>
      <w:pPr>
        <w:bidi w:val="0"/>
        <w:rPr>
          <w:rFonts w:hint="eastAsia" w:ascii="Times New Roman" w:hAnsi="Times New Roman" w:eastAsia="宋体" w:cs="Times New Roman"/>
          <w:b/>
          <w:bCs/>
          <w:sz w:val="24"/>
          <w:szCs w:val="32"/>
          <w:highlight w:val="none"/>
          <w:lang w:val="en-US" w:eastAsia="zh-CN"/>
        </w:rPr>
      </w:pPr>
      <w:bookmarkStart w:id="179" w:name="_Toc444776353"/>
      <w:r>
        <w:rPr>
          <w:rFonts w:hint="eastAsia" w:ascii="Times New Roman" w:hAnsi="Times New Roman" w:eastAsia="宋体" w:cs="Times New Roman"/>
          <w:b/>
          <w:bCs/>
          <w:sz w:val="24"/>
          <w:szCs w:val="32"/>
          <w:highlight w:val="none"/>
          <w:lang w:val="en-US" w:eastAsia="zh-CN"/>
        </w:rPr>
        <w:t>13.2 认证要求变更的程序</w:t>
      </w:r>
      <w:bookmarkEnd w:id="179"/>
    </w:p>
    <w:p>
      <w:pPr>
        <w:numPr>
          <w:ilvl w:val="0"/>
          <w:numId w:val="28"/>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在认证要求变更转换期结束前，获证客户向CQM提出认证要求变更申请；提出申请日期宜在转换期截止前至少90天；</w:t>
      </w:r>
    </w:p>
    <w:p>
      <w:pPr>
        <w:numPr>
          <w:ilvl w:val="0"/>
          <w:numId w:val="28"/>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28"/>
        </w:numPr>
        <w:spacing w:line="360" w:lineRule="auto"/>
        <w:rPr>
          <w:rFonts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spacing w:line="360" w:lineRule="auto"/>
        <w:ind w:left="719"/>
        <w:rPr>
          <w:rFonts w:ascii="宋体" w:hAnsi="宋体"/>
          <w:sz w:val="24"/>
          <w:highlight w:val="none"/>
        </w:rPr>
      </w:pPr>
    </w:p>
    <w:p>
      <w:pPr>
        <w:pStyle w:val="2"/>
        <w:spacing w:line="360" w:lineRule="auto"/>
        <w:rPr>
          <w:rFonts w:ascii="宋体" w:hAnsi="宋体"/>
          <w:highlight w:val="none"/>
        </w:rPr>
      </w:pPr>
      <w:bookmarkStart w:id="180" w:name="_Toc20234"/>
      <w:bookmarkStart w:id="181" w:name="_Toc33600448"/>
      <w:bookmarkStart w:id="182" w:name="_Toc33599741"/>
      <w:bookmarkStart w:id="183" w:name="_Toc185325645"/>
      <w:bookmarkStart w:id="184" w:name="_Toc33600404"/>
      <w:bookmarkStart w:id="185" w:name="_Toc33599614"/>
      <w:bookmarkStart w:id="186" w:name="_Toc85256272"/>
      <w:bookmarkStart w:id="187" w:name="_Toc85103646"/>
      <w:bookmarkStart w:id="188" w:name="_Toc85105536"/>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bookmarkEnd w:id="180"/>
      <w:bookmarkEnd w:id="181"/>
      <w:bookmarkEnd w:id="182"/>
      <w:bookmarkEnd w:id="183"/>
      <w:bookmarkEnd w:id="184"/>
      <w:bookmarkEnd w:id="185"/>
      <w:bookmarkEnd w:id="186"/>
      <w:bookmarkEnd w:id="187"/>
      <w:bookmarkEnd w:id="188"/>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bookmarkStart w:id="189" w:name="_Toc33599615"/>
      <w:bookmarkStart w:id="190" w:name="_Toc33600449"/>
      <w:bookmarkStart w:id="191" w:name="_Toc33599742"/>
      <w:bookmarkStart w:id="192" w:name="_Toc33600405"/>
    </w:p>
    <w:bookmarkEnd w:id="189"/>
    <w:bookmarkEnd w:id="190"/>
    <w:bookmarkEnd w:id="191"/>
    <w:bookmarkEnd w:id="192"/>
    <w:p>
      <w:pPr>
        <w:pStyle w:val="2"/>
        <w:spacing w:line="360" w:lineRule="auto"/>
        <w:rPr>
          <w:rFonts w:ascii="宋体" w:hAnsi="宋体"/>
          <w:highlight w:val="none"/>
        </w:rPr>
      </w:pPr>
      <w:bookmarkStart w:id="193" w:name="_Toc185325646"/>
      <w:bookmarkStart w:id="194" w:name="_Toc85256273"/>
      <w:bookmarkStart w:id="195" w:name="_Toc5288"/>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bookmarkEnd w:id="193"/>
      <w:bookmarkEnd w:id="194"/>
      <w:bookmarkEnd w:id="195"/>
    </w:p>
    <w:p>
      <w:pPr>
        <w:pStyle w:val="15"/>
        <w:spacing w:after="0" w:line="360" w:lineRule="auto"/>
        <w:ind w:left="0" w:leftChars="0" w:firstLine="420" w:firstLineChars="175"/>
        <w:rPr>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pStyle w:val="2"/>
        <w:spacing w:line="360" w:lineRule="auto"/>
        <w:rPr>
          <w:rFonts w:ascii="宋体" w:hAnsi="宋体"/>
          <w:highlight w:val="none"/>
        </w:rPr>
      </w:pPr>
      <w:bookmarkStart w:id="196" w:name="_Toc85256274"/>
      <w:bookmarkStart w:id="197" w:name="_Toc185325647"/>
      <w:bookmarkStart w:id="198" w:name="_Toc85103651"/>
      <w:bookmarkStart w:id="199" w:name="_Toc26190"/>
      <w:bookmarkStart w:id="200" w:name="_Toc85105541"/>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196"/>
      <w:bookmarkEnd w:id="197"/>
      <w:bookmarkEnd w:id="198"/>
      <w:bookmarkEnd w:id="199"/>
      <w:bookmarkEnd w:id="200"/>
    </w:p>
    <w:p>
      <w:pPr>
        <w:spacing w:line="360" w:lineRule="auto"/>
        <w:ind w:firstLine="480"/>
        <w:rPr>
          <w:rFonts w:ascii="宋体" w:hAnsi="宋体"/>
          <w:sz w:val="24"/>
          <w:highlight w:val="none"/>
        </w:rPr>
      </w:pPr>
      <w:r>
        <w:rPr>
          <w:rFonts w:hint="eastAsia" w:ascii="宋体" w:hAnsi="宋体"/>
          <w:sz w:val="24"/>
          <w:highlight w:val="none"/>
        </w:rPr>
        <w:t>实施本方案的费用，按《创新管理体系认证收费管理规则》执行。</w:t>
      </w:r>
      <w:bookmarkStart w:id="201" w:name="_Toc33600408"/>
      <w:bookmarkStart w:id="202" w:name="_Toc33600452"/>
      <w:bookmarkStart w:id="203" w:name="_Toc33599618"/>
      <w:bookmarkStart w:id="204" w:name="_Toc33599745"/>
    </w:p>
    <w:p>
      <w:pPr>
        <w:pStyle w:val="2"/>
        <w:spacing w:line="360" w:lineRule="auto"/>
        <w:rPr>
          <w:highlight w:val="none"/>
        </w:rPr>
      </w:pPr>
      <w:bookmarkStart w:id="205" w:name="_Toc85103652"/>
      <w:bookmarkStart w:id="206" w:name="_Toc85256275"/>
      <w:bookmarkStart w:id="207" w:name="_Toc185325648"/>
      <w:bookmarkStart w:id="208" w:name="_Toc85105542"/>
      <w:bookmarkStart w:id="209" w:name="_Toc2510"/>
      <w:r>
        <w:rPr>
          <w:rFonts w:hint="eastAsia"/>
          <w:highlight w:val="none"/>
        </w:rPr>
        <w:t>1</w:t>
      </w:r>
      <w:r>
        <w:rPr>
          <w:rFonts w:hint="eastAsia"/>
          <w:highlight w:val="none"/>
          <w:lang w:val="en-US" w:eastAsia="zh-CN"/>
        </w:rPr>
        <w:t>7</w:t>
      </w:r>
      <w:r>
        <w:rPr>
          <w:rFonts w:hint="eastAsia"/>
          <w:highlight w:val="none"/>
        </w:rPr>
        <w:t xml:space="preserve"> 公告</w:t>
      </w:r>
      <w:bookmarkEnd w:id="201"/>
      <w:bookmarkEnd w:id="202"/>
      <w:bookmarkEnd w:id="203"/>
      <w:bookmarkEnd w:id="204"/>
      <w:bookmarkEnd w:id="205"/>
      <w:bookmarkEnd w:id="206"/>
      <w:bookmarkEnd w:id="207"/>
      <w:bookmarkEnd w:id="208"/>
      <w:bookmarkEnd w:id="209"/>
    </w:p>
    <w:p>
      <w:pPr>
        <w:spacing w:line="360" w:lineRule="auto"/>
        <w:ind w:firstLine="480"/>
        <w:rPr>
          <w:rFonts w:ascii="宋体" w:hAnsi="宋体"/>
          <w:sz w:val="24"/>
          <w:highlight w:val="none"/>
        </w:rPr>
      </w:pPr>
      <w:r>
        <w:rPr>
          <w:rFonts w:hint="eastAsia" w:ascii="宋体" w:hAnsi="宋体"/>
          <w:sz w:val="24"/>
          <w:highlight w:val="none"/>
        </w:rPr>
        <w:t>对获得认证、暂停、恢复或撤销的认证客户，在CQM网站上公布。</w:t>
      </w:r>
      <w:bookmarkStart w:id="210" w:name="_Toc33599746"/>
      <w:bookmarkStart w:id="211" w:name="_Toc33600453"/>
      <w:bookmarkStart w:id="212" w:name="_Toc33599619"/>
      <w:bookmarkStart w:id="213" w:name="_Toc33600409"/>
    </w:p>
    <w:p>
      <w:pPr>
        <w:pStyle w:val="2"/>
        <w:spacing w:line="360" w:lineRule="auto"/>
        <w:rPr>
          <w:highlight w:val="none"/>
        </w:rPr>
      </w:pPr>
      <w:bookmarkStart w:id="214" w:name="_Toc85103653"/>
      <w:bookmarkStart w:id="215" w:name="_Toc185325649"/>
      <w:bookmarkStart w:id="216" w:name="_Toc5670"/>
      <w:bookmarkStart w:id="217" w:name="_Toc85105543"/>
      <w:bookmarkStart w:id="218" w:name="_Toc85256276"/>
      <w:r>
        <w:rPr>
          <w:rFonts w:hint="eastAsia"/>
          <w:highlight w:val="none"/>
        </w:rPr>
        <w:t>1</w:t>
      </w:r>
      <w:r>
        <w:rPr>
          <w:rFonts w:hint="eastAsia"/>
          <w:highlight w:val="none"/>
          <w:lang w:val="en-US" w:eastAsia="zh-CN"/>
        </w:rPr>
        <w:t>8</w:t>
      </w:r>
      <w:r>
        <w:rPr>
          <w:rFonts w:hint="eastAsia"/>
          <w:highlight w:val="none"/>
        </w:rPr>
        <w:t xml:space="preserve"> 附则</w:t>
      </w:r>
      <w:bookmarkEnd w:id="210"/>
      <w:bookmarkEnd w:id="211"/>
      <w:bookmarkEnd w:id="212"/>
      <w:bookmarkEnd w:id="213"/>
      <w:bookmarkEnd w:id="214"/>
      <w:bookmarkEnd w:id="215"/>
      <w:bookmarkEnd w:id="216"/>
      <w:bookmarkEnd w:id="217"/>
      <w:bookmarkEnd w:id="218"/>
    </w:p>
    <w:p>
      <w:pPr>
        <w:spacing w:line="360" w:lineRule="auto"/>
        <w:ind w:firstLine="480" w:firstLineChars="200"/>
        <w:rPr>
          <w:rFonts w:ascii="黑体" w:hAnsi="宋体" w:eastAsia="黑体"/>
          <w:szCs w:val="21"/>
          <w:highlight w:val="none"/>
        </w:rPr>
      </w:pPr>
      <w:r>
        <w:rPr>
          <w:rFonts w:hint="eastAsia" w:ascii="宋体" w:hAnsi="宋体"/>
          <w:sz w:val="24"/>
          <w:highlight w:val="none"/>
        </w:rPr>
        <w:t>本方案由方圆标志认证集团有限公司负责解释。</w:t>
      </w:r>
    </w:p>
    <w:bookmarkEnd w:id="221"/>
    <w:sectPr>
      <w:footerReference r:id="rId9" w:type="first"/>
      <w:footerReference r:id="rId8" w:type="default"/>
      <w:pgSz w:w="11906" w:h="16838"/>
      <w:pgMar w:top="856" w:right="1797" w:bottom="1440" w:left="1797" w:header="159" w:footer="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620" w:type="dxa"/>
          <w:tcBorders>
            <w:top w:val="thinThickSmallGap" w:color="002071" w:sz="18" w:space="0"/>
            <w:left w:val="nil"/>
            <w:bottom w:val="nil"/>
            <w:right w:val="nil"/>
          </w:tcBorders>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tcPr>
        <w:p>
          <w:pPr>
            <w:pStyle w:val="12"/>
            <w:jc w:val="both"/>
          </w:pPr>
        </w:p>
        <w:p>
          <w:pPr>
            <w:pStyle w:val="12"/>
            <w:jc w:val="both"/>
          </w:pPr>
          <w:r>
            <w:t>CQM/S-</w:t>
          </w:r>
          <w:r>
            <w:rPr>
              <w:rFonts w:hint="eastAsia"/>
            </w:rPr>
            <w:t>FN-00-001</w:t>
          </w:r>
        </w:p>
        <w:p>
          <w:pPr>
            <w:pStyle w:val="12"/>
            <w:jc w:val="both"/>
          </w:pPr>
          <w:r>
            <w:rPr>
              <w:rFonts w:hint="eastAsia"/>
            </w:rPr>
            <w:t>2016年01月01日</w:t>
          </w:r>
        </w:p>
        <w:p>
          <w:pPr>
            <w:pStyle w:val="12"/>
            <w:jc w:val="both"/>
          </w:pPr>
          <w:r>
            <w:rPr>
              <w:rFonts w:hint="eastAsia"/>
            </w:rPr>
            <w:t>2019年10月11日</w:t>
          </w:r>
        </w:p>
        <w:p>
          <w:pPr>
            <w:pStyle w:val="12"/>
            <w:jc w:val="both"/>
          </w:pPr>
          <w:r>
            <w:rPr>
              <w:rFonts w:hint="eastAsia"/>
            </w:rPr>
            <w:t>2019年10月11日</w:t>
          </w:r>
        </w:p>
        <w:p>
          <w:pPr>
            <w:pStyle w:val="12"/>
            <w:jc w:val="both"/>
          </w:pPr>
          <w:r>
            <w:rPr>
              <w:rFonts w:hint="eastAsia"/>
            </w:rPr>
            <w:t xml:space="preserve">第 1 </w:t>
          </w:r>
          <w:r>
            <w:rPr>
              <w:rStyle w:val="21"/>
              <w:rFonts w:hint="eastAsia"/>
            </w:rPr>
            <w:t>页  共 20 页</w:t>
          </w:r>
        </w:p>
      </w:tc>
    </w:tr>
  </w:tbl>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231" w:type="dxa"/>
          <w:tcBorders>
            <w:top w:val="thinThickSmallGap" w:color="002071" w:sz="18" w:space="0"/>
            <w:left w:val="nil"/>
            <w:bottom w:val="nil"/>
            <w:right w:val="nil"/>
          </w:tcBorders>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tcPr>
        <w:p>
          <w:pPr>
            <w:pStyle w:val="12"/>
            <w:jc w:val="both"/>
          </w:pPr>
        </w:p>
        <w:p>
          <w:pPr>
            <w:pStyle w:val="12"/>
            <w:jc w:val="both"/>
          </w:pPr>
          <w:r>
            <w:rPr>
              <w:rFonts w:hint="eastAsia"/>
            </w:rPr>
            <w:t>CQM/S-FN-48-047</w:t>
          </w:r>
        </w:p>
        <w:p>
          <w:pPr>
            <w:pStyle w:val="12"/>
            <w:jc w:val="both"/>
            <w:rPr>
              <w:rFonts w:hint="default" w:eastAsia="宋体"/>
              <w:lang w:val="en-US" w:eastAsia="zh-CN"/>
            </w:rPr>
          </w:pPr>
          <w:r>
            <w:rPr>
              <w:rFonts w:hint="eastAsia"/>
              <w:lang w:val="en-US" w:eastAsia="zh-CN"/>
            </w:rPr>
            <w:t>2024年02月26日</w:t>
          </w:r>
        </w:p>
        <w:p>
          <w:pPr>
            <w:pStyle w:val="12"/>
            <w:jc w:val="both"/>
            <w:rPr>
              <w:rFonts w:hint="default" w:eastAsia="宋体"/>
              <w:lang w:val="en-US" w:eastAsia="zh-CN"/>
            </w:rPr>
          </w:pPr>
          <w:r>
            <w:rPr>
              <w:rFonts w:hint="eastAsia"/>
              <w:lang w:val="en-US" w:eastAsia="zh-CN"/>
            </w:rPr>
            <w:t>2025年06月09日</w:t>
          </w:r>
        </w:p>
        <w:p>
          <w:pPr>
            <w:pStyle w:val="12"/>
            <w:jc w:val="both"/>
            <w:rPr>
              <w:rFonts w:hint="default"/>
              <w:lang w:val="en-US"/>
            </w:rPr>
          </w:pP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4"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2"/>
                                </w:pPr>
                                <w:r>
                                  <w:t xml:space="preserve">第 </w:t>
                                </w:r>
                                <w:r>
                                  <w:fldChar w:fldCharType="begin"/>
                                </w:r>
                                <w:r>
                                  <w:instrText xml:space="preserve"> PAGE  \* MERGEFORMAT </w:instrText>
                                </w:r>
                                <w:r>
                                  <w:fldChar w:fldCharType="separate"/>
                                </w:r>
                                <w:r>
                                  <w:t>12</w:t>
                                </w:r>
                                <w:r>
                                  <w:fldChar w:fldCharType="end"/>
                                </w:r>
                                <w:r>
                                  <w:t xml:space="preserve"> 页</w:t>
                                </w:r>
                                <w:r>
                                  <w:rPr>
                                    <w:rFonts w:hint="eastAsia"/>
                                  </w:rPr>
                                  <w:t xml:space="preserve"> </w:t>
                                </w:r>
                                <w:r>
                                  <w:t>共</w:t>
                                </w:r>
                                <w:r>
                                  <w:rPr>
                                    <w:rFonts w:hint="eastAsia"/>
                                  </w:rPr>
                                  <w:t xml:space="preserve"> </w:t>
                                </w:r>
                                <w:r>
                                  <w:rPr>
                                    <w:rFonts w:hint="eastAsia"/>
                                    <w:lang w:val="en-US" w:eastAsia="zh-CN"/>
                                  </w:rPr>
                                  <w:t>20</w:t>
                                </w:r>
                                <w:r>
                                  <w:rPr>
                                    <w:rFonts w:hint="eastAsia"/>
                                  </w:rPr>
                                  <w:t xml:space="preserve"> 页</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 xml:space="preserve"> 页</w:t>
                                </w:r>
                              </w:p>
                            </w:txbxContent>
                          </wps:txbx>
                          <wps:bodyPr lIns="0" tIns="0" rIns="0" bIns="0" upright="true"/>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Jxy7ynUAAAABgEAAA8AAAAAAAAAAQAgAAAAOAAAAGRycy9kb3du&#10;cmV2LnhtbFBLAQIUABQAAAAIAIdO4kCSJQMStAEAAEgDAAAOAAAAAAAAAAEAIAAAADkBAABkcnMv&#10;ZTJvRG9jLnhtbFBLBQYAAAAABgAGAFkBAABfBQAAAAA=&#10;">
                    <v:fill on="f" focussize="0,0"/>
                    <v:stroke on="f"/>
                    <v:imagedata o:title=""/>
                    <o:lock v:ext="edit" aspectratio="f"/>
                    <v:textbox inset="0mm,0mm,0mm,0mm">
                      <w:txbxContent>
                        <w:p>
                          <w:pPr>
                            <w:pStyle w:val="12"/>
                          </w:pPr>
                          <w:r>
                            <w:t xml:space="preserve">第 </w:t>
                          </w:r>
                          <w:r>
                            <w:fldChar w:fldCharType="begin"/>
                          </w:r>
                          <w:r>
                            <w:instrText xml:space="preserve"> PAGE  \* MERGEFORMAT </w:instrText>
                          </w:r>
                          <w:r>
                            <w:fldChar w:fldCharType="separate"/>
                          </w:r>
                          <w:r>
                            <w:t>12</w:t>
                          </w:r>
                          <w:r>
                            <w:fldChar w:fldCharType="end"/>
                          </w:r>
                          <w:r>
                            <w:t xml:space="preserve"> 页</w:t>
                          </w:r>
                          <w:r>
                            <w:rPr>
                              <w:rFonts w:hint="eastAsia"/>
                            </w:rPr>
                            <w:t xml:space="preserve"> </w:t>
                          </w:r>
                          <w:r>
                            <w:t>共</w:t>
                          </w:r>
                          <w:r>
                            <w:rPr>
                              <w:rFonts w:hint="eastAsia"/>
                            </w:rPr>
                            <w:t xml:space="preserve"> </w:t>
                          </w:r>
                          <w:r>
                            <w:rPr>
                              <w:rFonts w:hint="eastAsia"/>
                              <w:lang w:val="en-US" w:eastAsia="zh-CN"/>
                            </w:rPr>
                            <w:t>20</w:t>
                          </w:r>
                          <w:r>
                            <w:rPr>
                              <w:rFonts w:hint="eastAsia"/>
                            </w:rPr>
                            <w:t xml:space="preserve"> 页</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 xml:space="preserve"> 页</w:t>
                          </w:r>
                        </w:p>
                      </w:txbxContent>
                    </v:textbox>
                    <w10:wrap type="through"/>
                  </v:shape>
                </w:pict>
              </mc:Fallback>
            </mc:AlternateContent>
          </w:r>
          <w:r>
            <w:rPr>
              <w:rFonts w:hint="eastAsia"/>
              <w:lang w:val="en-US" w:eastAsia="zh-CN"/>
            </w:rPr>
            <w:t>2025年06月09日</w:t>
          </w:r>
        </w:p>
      </w:tc>
    </w:tr>
  </w:tbl>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10</w:t>
                          </w:r>
                          <w:r>
                            <w:fldChar w:fldCharType="end"/>
                          </w:r>
                        </w:p>
                      </w:txbxContent>
                    </wps:txbx>
                    <wps:bodyPr wrap="none" lIns="0" tIns="0" rIns="0" bIns="0" upright="true">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AA/xSrswEAAFIDAAAOAAAAAAAAAAEAIAAAADQBAABkcnMvZTJvRG9j&#10;LnhtbFBLBQYAAAAABgAGAFkBAABZBQ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10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3"/>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0288"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2540" b="13335"/>
          <wp:wrapNone/>
          <wp:docPr id="2"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2540" b="13335"/>
          <wp:wrapNone/>
          <wp:docPr id="1"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DC528"/>
    <w:multiLevelType w:val="multilevel"/>
    <w:tmpl w:val="923DC528"/>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A9D40D7B"/>
    <w:multiLevelType w:val="multilevel"/>
    <w:tmpl w:val="A9D40D7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
    <w:nsid w:val="C2BF2F8C"/>
    <w:multiLevelType w:val="multilevel"/>
    <w:tmpl w:val="C2BF2F8C"/>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D2A8EA69"/>
    <w:multiLevelType w:val="multilevel"/>
    <w:tmpl w:val="D2A8EA69"/>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4">
    <w:nsid w:val="F41899B0"/>
    <w:multiLevelType w:val="multilevel"/>
    <w:tmpl w:val="F41899B0"/>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5">
    <w:nsid w:val="16CC3A54"/>
    <w:multiLevelType w:val="multilevel"/>
    <w:tmpl w:val="16CC3A5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7">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8">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9">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10">
    <w:nsid w:val="231F7D2A"/>
    <w:multiLevelType w:val="multilevel"/>
    <w:tmpl w:val="231F7D2A"/>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11">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2">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3">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4">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5">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6">
    <w:nsid w:val="49160CC3"/>
    <w:multiLevelType w:val="multilevel"/>
    <w:tmpl w:val="49160CC3"/>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8">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9">
    <w:nsid w:val="5F705C3D"/>
    <w:multiLevelType w:val="multilevel"/>
    <w:tmpl w:val="5F705C3D"/>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0">
    <w:nsid w:val="61C6F668"/>
    <w:multiLevelType w:val="multilevel"/>
    <w:tmpl w:val="61C6F668"/>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2">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3">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4">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5">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6">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27">
    <w:nsid w:val="79057DE9"/>
    <w:multiLevelType w:val="multilevel"/>
    <w:tmpl w:val="79057DE9"/>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5"/>
  </w:num>
  <w:num w:numId="2">
    <w:abstractNumId w:val="0"/>
  </w:num>
  <w:num w:numId="3">
    <w:abstractNumId w:val="20"/>
  </w:num>
  <w:num w:numId="4">
    <w:abstractNumId w:val="2"/>
  </w:num>
  <w:num w:numId="5">
    <w:abstractNumId w:val="16"/>
  </w:num>
  <w:num w:numId="6">
    <w:abstractNumId w:val="15"/>
  </w:num>
  <w:num w:numId="7">
    <w:abstractNumId w:val="22"/>
  </w:num>
  <w:num w:numId="8">
    <w:abstractNumId w:val="21"/>
  </w:num>
  <w:num w:numId="9">
    <w:abstractNumId w:val="25"/>
  </w:num>
  <w:num w:numId="10">
    <w:abstractNumId w:val="18"/>
  </w:num>
  <w:num w:numId="11">
    <w:abstractNumId w:val="9"/>
  </w:num>
  <w:num w:numId="12">
    <w:abstractNumId w:val="7"/>
  </w:num>
  <w:num w:numId="13">
    <w:abstractNumId w:val="26"/>
  </w:num>
  <w:num w:numId="14">
    <w:abstractNumId w:val="14"/>
  </w:num>
  <w:num w:numId="15">
    <w:abstractNumId w:val="11"/>
  </w:num>
  <w:num w:numId="16">
    <w:abstractNumId w:val="6"/>
  </w:num>
  <w:num w:numId="17">
    <w:abstractNumId w:val="24"/>
  </w:num>
  <w:num w:numId="18">
    <w:abstractNumId w:val="8"/>
  </w:num>
  <w:num w:numId="19">
    <w:abstractNumId w:val="23"/>
  </w:num>
  <w:num w:numId="20">
    <w:abstractNumId w:val="10"/>
  </w:num>
  <w:num w:numId="21">
    <w:abstractNumId w:val="1"/>
  </w:num>
  <w:num w:numId="22">
    <w:abstractNumId w:val="27"/>
  </w:num>
  <w:num w:numId="23">
    <w:abstractNumId w:val="19"/>
  </w:num>
  <w:num w:numId="24">
    <w:abstractNumId w:val="12"/>
  </w:num>
  <w:num w:numId="25">
    <w:abstractNumId w:val="4"/>
  </w:num>
  <w:num w:numId="26">
    <w:abstractNumId w:val="3"/>
  </w:num>
  <w:num w:numId="27">
    <w:abstractNumId w:val="13"/>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e47ac055-c279-4bc4-b486-d0ce18bbba95"/>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2D64CD"/>
    <w:rsid w:val="00315F19"/>
    <w:rsid w:val="00353EDE"/>
    <w:rsid w:val="003D5191"/>
    <w:rsid w:val="003F010E"/>
    <w:rsid w:val="004061E4"/>
    <w:rsid w:val="004706B5"/>
    <w:rsid w:val="00513651"/>
    <w:rsid w:val="005A2954"/>
    <w:rsid w:val="005B11A1"/>
    <w:rsid w:val="005B7080"/>
    <w:rsid w:val="005C67B9"/>
    <w:rsid w:val="005D5339"/>
    <w:rsid w:val="00600AB2"/>
    <w:rsid w:val="00744857"/>
    <w:rsid w:val="007A6EDA"/>
    <w:rsid w:val="008E6599"/>
    <w:rsid w:val="009648F4"/>
    <w:rsid w:val="009B310F"/>
    <w:rsid w:val="009F5BB3"/>
    <w:rsid w:val="00A275FB"/>
    <w:rsid w:val="00AA2667"/>
    <w:rsid w:val="00AB258F"/>
    <w:rsid w:val="00AD5E9E"/>
    <w:rsid w:val="00B258A2"/>
    <w:rsid w:val="00B457DE"/>
    <w:rsid w:val="00BC1643"/>
    <w:rsid w:val="00D20F8E"/>
    <w:rsid w:val="00D22FFA"/>
    <w:rsid w:val="00D3714E"/>
    <w:rsid w:val="00D634B5"/>
    <w:rsid w:val="00E25207"/>
    <w:rsid w:val="00E8061B"/>
    <w:rsid w:val="00EB77CA"/>
    <w:rsid w:val="00F3244F"/>
    <w:rsid w:val="00FA2F03"/>
    <w:rsid w:val="039A28B5"/>
    <w:rsid w:val="066E2140"/>
    <w:rsid w:val="06893AAA"/>
    <w:rsid w:val="078C29F9"/>
    <w:rsid w:val="095160B3"/>
    <w:rsid w:val="0A701D39"/>
    <w:rsid w:val="0AB65C89"/>
    <w:rsid w:val="0AEA0988"/>
    <w:rsid w:val="0B5F7C64"/>
    <w:rsid w:val="0C0C1DAF"/>
    <w:rsid w:val="10825325"/>
    <w:rsid w:val="120C3966"/>
    <w:rsid w:val="1B3A2034"/>
    <w:rsid w:val="1F1E48D5"/>
    <w:rsid w:val="20C2656C"/>
    <w:rsid w:val="225C5DA1"/>
    <w:rsid w:val="256064CA"/>
    <w:rsid w:val="27E823BB"/>
    <w:rsid w:val="34070D19"/>
    <w:rsid w:val="40787BE3"/>
    <w:rsid w:val="44314A28"/>
    <w:rsid w:val="4C760506"/>
    <w:rsid w:val="4DC61225"/>
    <w:rsid w:val="52BB4448"/>
    <w:rsid w:val="541E1033"/>
    <w:rsid w:val="597955E3"/>
    <w:rsid w:val="5B567260"/>
    <w:rsid w:val="5C0A0C51"/>
    <w:rsid w:val="5D4B2C12"/>
    <w:rsid w:val="5DB54B73"/>
    <w:rsid w:val="5EF4302F"/>
    <w:rsid w:val="5FD96BCD"/>
    <w:rsid w:val="61095CDB"/>
    <w:rsid w:val="610D619E"/>
    <w:rsid w:val="682B65E9"/>
    <w:rsid w:val="6BF82D5E"/>
    <w:rsid w:val="6E784E1F"/>
    <w:rsid w:val="6F5050E8"/>
    <w:rsid w:val="74B4085B"/>
    <w:rsid w:val="76C447BE"/>
    <w:rsid w:val="78210102"/>
    <w:rsid w:val="AFE5D2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Body Text"/>
    <w:basedOn w:val="1"/>
    <w:qFormat/>
    <w:uiPriority w:val="0"/>
    <w:pPr>
      <w:spacing w:after="120"/>
    </w:pPr>
  </w:style>
  <w:style w:type="paragraph" w:styleId="8">
    <w:name w:val="Body Text Indent"/>
    <w:basedOn w:val="1"/>
    <w:qFormat/>
    <w:uiPriority w:val="0"/>
    <w:pPr>
      <w:widowControl/>
      <w:ind w:firstLine="560" w:firstLineChars="200"/>
      <w:jc w:val="left"/>
    </w:pPr>
    <w:rPr>
      <w:rFonts w:ascii="宋体" w:hAnsi="宋体"/>
      <w:color w:val="000000"/>
      <w:sz w:val="28"/>
      <w:szCs w:val="33"/>
    </w:rPr>
  </w:style>
  <w:style w:type="paragraph" w:styleId="9">
    <w:name w:val="List 2"/>
    <w:basedOn w:val="1"/>
    <w:qFormat/>
    <w:uiPriority w:val="0"/>
    <w:pPr>
      <w:ind w:left="100" w:leftChars="200" w:hanging="200" w:hangingChars="200"/>
    </w:pPr>
  </w:style>
  <w:style w:type="paragraph" w:styleId="10">
    <w:name w:val="Body Text Indent 2"/>
    <w:basedOn w:val="1"/>
    <w:qFormat/>
    <w:uiPriority w:val="0"/>
    <w:pPr>
      <w:spacing w:after="120" w:line="480" w:lineRule="auto"/>
      <w:ind w:left="420" w:leftChars="200"/>
    </w:p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76" w:lineRule="auto"/>
      <w:jc w:val="left"/>
    </w:pPr>
    <w:rPr>
      <w:rFonts w:ascii="Calibri" w:hAnsi="Calibri"/>
      <w:kern w:val="0"/>
      <w:sz w:val="22"/>
      <w:szCs w:val="22"/>
    </w:rPr>
  </w:style>
  <w:style w:type="paragraph" w:styleId="15">
    <w:name w:val="Body Text Indent 3"/>
    <w:basedOn w:val="1"/>
    <w:qFormat/>
    <w:uiPriority w:val="0"/>
    <w:pPr>
      <w:spacing w:after="120"/>
      <w:ind w:left="420" w:leftChars="200"/>
    </w:pPr>
    <w:rPr>
      <w:sz w:val="16"/>
      <w:szCs w:val="16"/>
    </w:rPr>
  </w:style>
  <w:style w:type="paragraph" w:styleId="16">
    <w:name w:val="toc 2"/>
    <w:basedOn w:val="1"/>
    <w:next w:val="1"/>
    <w:unhideWhenUsed/>
    <w:qFormat/>
    <w:uiPriority w:val="39"/>
    <w:pPr>
      <w:widowControl/>
      <w:spacing w:after="100" w:line="276" w:lineRule="auto"/>
      <w:ind w:left="220"/>
      <w:jc w:val="left"/>
    </w:pPr>
    <w:rPr>
      <w:rFonts w:ascii="Calibri" w:hAnsi="Calibri"/>
      <w:kern w:val="0"/>
      <w:sz w:val="22"/>
      <w:szCs w:val="22"/>
    </w:rPr>
  </w:style>
  <w:style w:type="paragraph" w:styleId="17">
    <w:name w:val="Body Text 2"/>
    <w:basedOn w:val="1"/>
    <w:qFormat/>
    <w:uiPriority w:val="0"/>
    <w:pPr>
      <w:spacing w:after="120" w:line="480" w:lineRule="auto"/>
    </w:pPr>
  </w:style>
  <w:style w:type="paragraph" w:styleId="18">
    <w:name w:val="Title"/>
    <w:basedOn w:val="1"/>
    <w:next w:val="1"/>
    <w:qFormat/>
    <w:uiPriority w:val="0"/>
    <w:pPr>
      <w:spacing w:before="240" w:after="60"/>
      <w:jc w:val="center"/>
      <w:outlineLvl w:val="0"/>
    </w:pPr>
    <w:rPr>
      <w:rFonts w:ascii="Cambria" w:hAnsi="Cambria"/>
      <w:b/>
      <w:bCs/>
      <w:sz w:val="32"/>
      <w:szCs w:val="32"/>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3">
    <w:name w:val="批注框文本 Char"/>
    <w:basedOn w:val="20"/>
    <w:link w:val="11"/>
    <w:qFormat/>
    <w:uiPriority w:val="0"/>
    <w:rPr>
      <w:kern w:val="2"/>
      <w:sz w:val="18"/>
      <w:szCs w:val="18"/>
    </w:rPr>
  </w:style>
  <w:style w:type="paragraph" w:customStyle="1" w:styleId="24">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5">
    <w:name w:val="二级条标题"/>
    <w:basedOn w:val="26"/>
    <w:next w:val="1"/>
    <w:qFormat/>
    <w:uiPriority w:val="0"/>
    <w:pPr>
      <w:outlineLvl w:val="3"/>
    </w:pPr>
  </w:style>
  <w:style w:type="paragraph" w:customStyle="1" w:styleId="26">
    <w:name w:val="一级条标题"/>
    <w:next w:val="27"/>
    <w:qFormat/>
    <w:uiPriority w:val="0"/>
    <w:pPr>
      <w:outlineLvl w:val="2"/>
    </w:pPr>
    <w:rPr>
      <w:rFonts w:ascii="Times New Roman" w:hAnsi="Times New Roman" w:eastAsia="黑体" w:cs="Times New Roman"/>
      <w:sz w:val="21"/>
      <w:lang w:val="en-US" w:eastAsia="zh-CN" w:bidi="ar-SA"/>
    </w:rPr>
  </w:style>
  <w:style w:type="paragraph" w:customStyle="1" w:styleId="27">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4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21</Pages>
  <Words>11597</Words>
  <Characters>12231</Characters>
  <Lines>83</Lines>
  <Paragraphs>23</Paragraphs>
  <TotalTime>1</TotalTime>
  <ScaleCrop>false</ScaleCrop>
  <LinksUpToDate>false</LinksUpToDate>
  <CharactersWithSpaces>12413</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2025-09-11T12:09:44Z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9C9FCDB39E9D4F8E86F1A322EA56E1BB_13</vt:lpwstr>
  </property>
</Properties>
</file>