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185"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4384"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9"/>
                              <w:spacing w:before="0" w:after="0"/>
                              <w:rPr>
                                <w:rFonts w:ascii="黑体" w:hAnsi="黑体" w:eastAsia="黑体"/>
                                <w:b w:val="0"/>
                                <w:color w:val="002060"/>
                                <w:sz w:val="52"/>
                                <w:szCs w:val="52"/>
                              </w:rPr>
                            </w:pPr>
                            <w:bookmarkStart w:id="183" w:name="_Toc440007486"/>
                            <w:bookmarkStart w:id="184" w:name="_Toc444776325"/>
                            <w:r>
                              <w:rPr>
                                <w:rFonts w:hint="eastAsia" w:ascii="黑体" w:hAnsi="黑体" w:eastAsia="黑体"/>
                                <w:b w:val="0"/>
                                <w:color w:val="002060"/>
                                <w:sz w:val="52"/>
                                <w:szCs w:val="52"/>
                                <w:lang w:val="en-US" w:eastAsia="zh-CN"/>
                              </w:rPr>
                              <w:t>人工智能</w:t>
                            </w:r>
                            <w:r>
                              <w:rPr>
                                <w:rFonts w:hint="eastAsia" w:ascii="黑体" w:hAnsi="Times New Roman" w:eastAsia="黑体"/>
                                <w:b w:val="0"/>
                                <w:bCs w:val="0"/>
                                <w:color w:val="002060"/>
                                <w:sz w:val="52"/>
                                <w:szCs w:val="52"/>
                              </w:rPr>
                              <w:t>管理体系认证实施方案</w:t>
                            </w:r>
                            <w:bookmarkEnd w:id="183"/>
                            <w:bookmarkEnd w:id="184"/>
                          </w:p>
                          <w:p>
                            <w:pPr>
                              <w:pStyle w:val="19"/>
                              <w:spacing w:before="0" w:after="0"/>
                              <w:jc w:val="both"/>
                              <w:rPr>
                                <w:rFonts w:ascii="黑体" w:hAnsi="Times New Roman" w:eastAsia="黑体"/>
                                <w:b w:val="0"/>
                                <w:bCs w:val="0"/>
                                <w:color w:val="002071"/>
                                <w:sz w:val="52"/>
                                <w:szCs w:val="52"/>
                              </w:rPr>
                            </w:pPr>
                          </w:p>
                          <w:p>
                            <w:pPr>
                              <w:pStyle w:val="6"/>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4384;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9"/>
                        <w:spacing w:before="0" w:after="0"/>
                        <w:rPr>
                          <w:rFonts w:ascii="黑体" w:hAnsi="黑体" w:eastAsia="黑体"/>
                          <w:b w:val="0"/>
                          <w:color w:val="002060"/>
                          <w:sz w:val="52"/>
                          <w:szCs w:val="52"/>
                        </w:rPr>
                      </w:pPr>
                      <w:bookmarkStart w:id="183" w:name="_Toc440007486"/>
                      <w:bookmarkStart w:id="184" w:name="_Toc444776325"/>
                      <w:r>
                        <w:rPr>
                          <w:rFonts w:hint="eastAsia" w:ascii="黑体" w:hAnsi="黑体" w:eastAsia="黑体"/>
                          <w:b w:val="0"/>
                          <w:color w:val="002060"/>
                          <w:sz w:val="52"/>
                          <w:szCs w:val="52"/>
                          <w:lang w:val="en-US" w:eastAsia="zh-CN"/>
                        </w:rPr>
                        <w:t>人工智能</w:t>
                      </w:r>
                      <w:r>
                        <w:rPr>
                          <w:rFonts w:hint="eastAsia" w:ascii="黑体" w:hAnsi="Times New Roman" w:eastAsia="黑体"/>
                          <w:b w:val="0"/>
                          <w:bCs w:val="0"/>
                          <w:color w:val="002060"/>
                          <w:sz w:val="52"/>
                          <w:szCs w:val="52"/>
                        </w:rPr>
                        <w:t>管理体系认证实施方案</w:t>
                      </w:r>
                      <w:bookmarkEnd w:id="183"/>
                      <w:bookmarkEnd w:id="184"/>
                    </w:p>
                    <w:p>
                      <w:pPr>
                        <w:pStyle w:val="19"/>
                        <w:spacing w:before="0" w:after="0"/>
                        <w:jc w:val="both"/>
                        <w:rPr>
                          <w:rFonts w:ascii="黑体" w:hAnsi="Times New Roman" w:eastAsia="黑体"/>
                          <w:b w:val="0"/>
                          <w:bCs w:val="0"/>
                          <w:color w:val="002071"/>
                          <w:sz w:val="52"/>
                          <w:szCs w:val="52"/>
                        </w:rPr>
                      </w:pPr>
                    </w:p>
                    <w:p>
                      <w:pPr>
                        <w:pStyle w:val="6"/>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20"/>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74" w:firstLineChars="98"/>
              <w:rPr>
                <w:rFonts w:hint="default" w:ascii="隶书" w:hAnsi="思源黑体 CN Medium" w:eastAsia="仿宋_GB2312" w:cs="思源黑体 CN Medium"/>
                <w:color w:val="002060"/>
                <w:sz w:val="28"/>
                <w:szCs w:val="15"/>
                <w:highlight w:val="none"/>
                <w:lang w:val="en-US" w:eastAsia="zh-CN"/>
              </w:rPr>
            </w:pPr>
            <w:r>
              <w:rPr>
                <w:rFonts w:eastAsia="仿宋_GB2312"/>
                <w:color w:val="002060"/>
                <w:sz w:val="28"/>
                <w:szCs w:val="15"/>
                <w:highlight w:val="none"/>
              </w:rPr>
              <w:t>CQM</w:t>
            </w:r>
            <w:r>
              <w:rPr>
                <w:rFonts w:hint="eastAsia" w:eastAsia="仿宋_GB2312"/>
                <w:color w:val="002060"/>
                <w:sz w:val="28"/>
                <w:szCs w:val="15"/>
                <w:highlight w:val="none"/>
              </w:rPr>
              <w:t>/S-FN-5</w:t>
            </w:r>
            <w:r>
              <w:rPr>
                <w:rFonts w:hint="eastAsia" w:eastAsia="仿宋_GB2312"/>
                <w:color w:val="002060"/>
                <w:sz w:val="28"/>
                <w:szCs w:val="15"/>
                <w:highlight w:val="none"/>
                <w:lang w:val="en-US" w:eastAsia="zh-CN"/>
              </w:rPr>
              <w:t>2</w:t>
            </w:r>
            <w:r>
              <w:rPr>
                <w:rFonts w:hint="eastAsia" w:eastAsia="仿宋_GB2312"/>
                <w:color w:val="002060"/>
                <w:sz w:val="28"/>
                <w:szCs w:val="15"/>
                <w:highlight w:val="none"/>
              </w:rPr>
              <w:t>-0</w:t>
            </w:r>
            <w:r>
              <w:rPr>
                <w:rFonts w:hint="eastAsia" w:eastAsia="仿宋_GB2312"/>
                <w:color w:val="002060"/>
                <w:sz w:val="28"/>
                <w:szCs w:val="15"/>
                <w:highlight w:val="none"/>
                <w:lang w:val="en-US" w:eastAsia="zh-CN"/>
              </w:rPr>
              <w:t>51</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ascii="隶书" w:hAnsi="思源黑体 CN Medium" w:eastAsia="隶书" w:cs="思源黑体 CN Medium"/>
                <w:color w:val="002060"/>
                <w:sz w:val="28"/>
                <w:szCs w:val="15"/>
                <w:highlight w:val="none"/>
              </w:rPr>
            </w:pPr>
            <w:r>
              <w:rPr>
                <w:rFonts w:hint="eastAsia" w:eastAsia="仿宋_GB2312"/>
                <w:color w:val="002060"/>
                <w:sz w:val="28"/>
                <w:szCs w:val="15"/>
                <w:highlight w:val="none"/>
              </w:rPr>
              <w:t>202</w:t>
            </w:r>
            <w:r>
              <w:rPr>
                <w:rFonts w:hint="eastAsia" w:eastAsia="仿宋_GB2312"/>
                <w:color w:val="002060"/>
                <w:sz w:val="28"/>
                <w:szCs w:val="15"/>
                <w:highlight w:val="none"/>
                <w:lang w:val="en-US" w:eastAsia="zh-CN"/>
              </w:rPr>
              <w:t>4</w:t>
            </w:r>
            <w:r>
              <w:rPr>
                <w:rFonts w:eastAsia="仿宋_GB2312"/>
                <w:color w:val="002060"/>
                <w:sz w:val="28"/>
                <w:szCs w:val="15"/>
                <w:highlight w:val="none"/>
              </w:rPr>
              <w:t>年</w:t>
            </w:r>
            <w:r>
              <w:rPr>
                <w:rFonts w:hint="eastAsia" w:eastAsia="仿宋_GB2312"/>
                <w:color w:val="002060"/>
                <w:sz w:val="28"/>
                <w:szCs w:val="15"/>
                <w:highlight w:val="none"/>
              </w:rPr>
              <w:t>0</w:t>
            </w:r>
            <w:r>
              <w:rPr>
                <w:rFonts w:hint="eastAsia" w:eastAsia="仿宋_GB2312"/>
                <w:color w:val="002060"/>
                <w:sz w:val="28"/>
                <w:szCs w:val="15"/>
                <w:highlight w:val="none"/>
                <w:lang w:val="en-US" w:eastAsia="zh-CN"/>
              </w:rPr>
              <w:t>4</w:t>
            </w:r>
            <w:r>
              <w:rPr>
                <w:rFonts w:eastAsia="仿宋_GB2312"/>
                <w:color w:val="002060"/>
                <w:sz w:val="28"/>
                <w:szCs w:val="15"/>
                <w:highlight w:val="none"/>
              </w:rPr>
              <w:t>月</w:t>
            </w:r>
            <w:r>
              <w:rPr>
                <w:rFonts w:hint="eastAsia" w:eastAsia="仿宋_GB2312"/>
                <w:color w:val="002060"/>
                <w:sz w:val="28"/>
                <w:szCs w:val="15"/>
                <w:highlight w:val="none"/>
                <w:lang w:val="en-US" w:eastAsia="zh-CN"/>
              </w:rPr>
              <w:t>29</w:t>
            </w:r>
            <w:r>
              <w:rPr>
                <w:rFonts w:eastAsia="仿宋_GB2312"/>
                <w:color w:val="002060"/>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default" w:ascii="隶书" w:hAnsi="思源黑体 CN Medium" w:eastAsia="隶书" w:cs="思源黑体 CN Medium"/>
                <w:color w:val="002060"/>
                <w:sz w:val="28"/>
                <w:szCs w:val="15"/>
                <w:highlight w:val="none"/>
                <w:lang w:val="en-US" w:eastAsia="zh-CN"/>
              </w:rPr>
            </w:pPr>
            <w:r>
              <w:rPr>
                <w:rFonts w:hint="eastAsia" w:eastAsia="仿宋_GB2312"/>
                <w:color w:val="002060"/>
                <w:sz w:val="28"/>
                <w:szCs w:val="15"/>
                <w:highlight w:val="none"/>
              </w:rPr>
              <w:t>202</w:t>
            </w:r>
            <w:r>
              <w:rPr>
                <w:rFonts w:hint="eastAsia" w:eastAsia="仿宋_GB2312"/>
                <w:color w:val="002060"/>
                <w:sz w:val="28"/>
                <w:szCs w:val="15"/>
                <w:highlight w:val="none"/>
                <w:lang w:val="en-US" w:eastAsia="zh-CN"/>
              </w:rPr>
              <w:t>5</w:t>
            </w:r>
            <w:r>
              <w:rPr>
                <w:rFonts w:eastAsia="仿宋_GB2312"/>
                <w:color w:val="002060"/>
                <w:sz w:val="28"/>
                <w:szCs w:val="15"/>
                <w:highlight w:val="none"/>
              </w:rPr>
              <w:t>年</w:t>
            </w:r>
            <w:r>
              <w:rPr>
                <w:rFonts w:hint="eastAsia" w:eastAsia="仿宋_GB2312"/>
                <w:color w:val="002060"/>
                <w:sz w:val="28"/>
                <w:szCs w:val="15"/>
                <w:highlight w:val="none"/>
                <w:lang w:val="en-US" w:eastAsia="zh-CN"/>
              </w:rPr>
              <w:t>06</w:t>
            </w:r>
            <w:r>
              <w:rPr>
                <w:rFonts w:eastAsia="仿宋_GB2312"/>
                <w:color w:val="002060"/>
                <w:sz w:val="28"/>
                <w:szCs w:val="15"/>
                <w:highlight w:val="none"/>
              </w:rPr>
              <w:t>月</w:t>
            </w:r>
            <w:r>
              <w:rPr>
                <w:rFonts w:hint="eastAsia" w:eastAsia="仿宋_GB2312"/>
                <w:color w:val="002060"/>
                <w:sz w:val="28"/>
                <w:szCs w:val="15"/>
                <w:highlight w:val="none"/>
                <w:lang w:val="en-US" w:eastAsia="zh-CN"/>
              </w:rPr>
              <w:t>10</w:t>
            </w:r>
            <w:r>
              <w:rPr>
                <w:rFonts w:eastAsia="仿宋_GB2312"/>
                <w:color w:val="002060"/>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ascii="隶书" w:hAnsi="思源黑体 CN Medium" w:eastAsia="隶书" w:cs="思源黑体 CN Medium"/>
                <w:color w:val="002060"/>
                <w:sz w:val="28"/>
                <w:szCs w:val="15"/>
                <w:highlight w:val="none"/>
              </w:rPr>
            </w:pPr>
            <w:r>
              <w:rPr>
                <w:rFonts w:hint="eastAsia" w:eastAsia="仿宋_GB2312"/>
                <w:color w:val="002060"/>
                <w:sz w:val="28"/>
                <w:szCs w:val="15"/>
                <w:highlight w:val="none"/>
              </w:rPr>
              <w:t>202</w:t>
            </w:r>
            <w:r>
              <w:rPr>
                <w:rFonts w:hint="eastAsia" w:eastAsia="仿宋_GB2312"/>
                <w:color w:val="002060"/>
                <w:sz w:val="28"/>
                <w:szCs w:val="15"/>
                <w:highlight w:val="none"/>
                <w:lang w:val="en-US" w:eastAsia="zh-CN"/>
              </w:rPr>
              <w:t>5</w:t>
            </w:r>
            <w:r>
              <w:rPr>
                <w:rFonts w:eastAsia="仿宋_GB2312"/>
                <w:color w:val="002060"/>
                <w:sz w:val="28"/>
                <w:szCs w:val="15"/>
                <w:highlight w:val="none"/>
              </w:rPr>
              <w:t>年</w:t>
            </w:r>
            <w:r>
              <w:rPr>
                <w:rFonts w:hint="eastAsia" w:eastAsia="仿宋_GB2312"/>
                <w:color w:val="002060"/>
                <w:sz w:val="28"/>
                <w:szCs w:val="15"/>
                <w:highlight w:val="none"/>
                <w:lang w:val="en-US" w:eastAsia="zh-CN"/>
              </w:rPr>
              <w:t>06</w:t>
            </w:r>
            <w:r>
              <w:rPr>
                <w:rFonts w:eastAsia="仿宋_GB2312"/>
                <w:color w:val="002060"/>
                <w:sz w:val="28"/>
                <w:szCs w:val="15"/>
                <w:highlight w:val="none"/>
              </w:rPr>
              <w:t>月</w:t>
            </w:r>
            <w:r>
              <w:rPr>
                <w:rFonts w:hint="eastAsia" w:eastAsia="仿宋_GB2312"/>
                <w:color w:val="002060"/>
                <w:sz w:val="28"/>
                <w:szCs w:val="15"/>
                <w:highlight w:val="none"/>
                <w:lang w:val="en-US" w:eastAsia="zh-CN"/>
              </w:rPr>
              <w:t>10</w:t>
            </w:r>
            <w:r>
              <w:rPr>
                <w:rFonts w:eastAsia="仿宋_GB2312"/>
                <w:color w:val="002060"/>
                <w:sz w:val="28"/>
                <w:szCs w:val="15"/>
                <w:highlight w:val="none"/>
              </w:rPr>
              <w:t>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start="1"/>
          <w:cols w:space="425" w:num="1"/>
          <w:titlePg/>
          <w:docGrid w:type="lines" w:linePitch="312" w:charSpace="0"/>
        </w:sectPr>
      </w:pPr>
    </w:p>
    <w:p>
      <w:pPr>
        <w:spacing w:line="360" w:lineRule="auto"/>
        <w:ind w:firstLine="602" w:firstLineChars="200"/>
        <w:jc w:val="center"/>
        <w:rPr>
          <w:b/>
          <w:bCs/>
          <w:sz w:val="30"/>
          <w:highlight w:val="none"/>
        </w:rPr>
      </w:pPr>
    </w:p>
    <w:p>
      <w:pPr>
        <w:ind w:firstLine="602" w:firstLineChars="200"/>
        <w:jc w:val="center"/>
        <w:outlineLvl w:val="0"/>
        <w:rPr>
          <w:b/>
          <w:bCs/>
          <w:sz w:val="30"/>
          <w:highlight w:val="none"/>
        </w:rPr>
      </w:pPr>
      <w:bookmarkStart w:id="0" w:name="_Toc16297"/>
      <w:r>
        <w:rPr>
          <w:rFonts w:hint="eastAsia"/>
          <w:b/>
          <w:bCs/>
          <w:sz w:val="30"/>
          <w:highlight w:val="none"/>
        </w:rPr>
        <w:t>目    录</w:t>
      </w:r>
      <w:bookmarkEnd w:id="0"/>
    </w:p>
    <w:p>
      <w:pPr>
        <w:pStyle w:val="15"/>
        <w:tabs>
          <w:tab w:val="right" w:leader="dot" w:pos="8312"/>
        </w:tabs>
        <w:rPr>
          <w:highlight w:val="none"/>
        </w:rPr>
      </w:pPr>
      <w:r>
        <w:rPr>
          <w:highlight w:val="none"/>
        </w:rPr>
        <w:fldChar w:fldCharType="begin"/>
      </w:r>
      <w:r>
        <w:rPr>
          <w:highlight w:val="none"/>
        </w:rPr>
        <w:instrText xml:space="preserve"> TOC \o "1-3" \h \z \u </w:instrText>
      </w:r>
      <w:r>
        <w:rPr>
          <w:highlight w:val="none"/>
        </w:rPr>
        <w:fldChar w:fldCharType="separate"/>
      </w:r>
    </w:p>
    <w:p>
      <w:pPr>
        <w:pStyle w:val="15"/>
        <w:rPr>
          <w:highlight w:val="none"/>
        </w:rPr>
      </w:pPr>
      <w:r>
        <w:rPr>
          <w:highlight w:val="none"/>
        </w:rPr>
        <w:fldChar w:fldCharType="begin"/>
      </w:r>
      <w:r>
        <w:rPr>
          <w:highlight w:val="none"/>
        </w:rPr>
        <w:instrText xml:space="preserve">TOC \o "1-1" \h \u </w:instrText>
      </w:r>
      <w:r>
        <w:rPr>
          <w:highlight w:val="none"/>
        </w:rPr>
        <w:fldChar w:fldCharType="separate"/>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_Toc8117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1 适用范围</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_Toc8117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_Toc28196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 xml:space="preserve">2 </w:t>
      </w:r>
      <w:r>
        <w:rPr>
          <w:rFonts w:hint="eastAsia" w:asciiTheme="minorEastAsia" w:hAnsiTheme="minorEastAsia" w:eastAsiaTheme="minorEastAsia" w:cstheme="minorEastAsia"/>
          <w:sz w:val="22"/>
          <w:szCs w:val="22"/>
          <w:highlight w:val="none"/>
          <w:lang w:val="en-US" w:eastAsia="zh-CN"/>
        </w:rPr>
        <w:t>认证依据和</w:t>
      </w:r>
      <w:r>
        <w:rPr>
          <w:rFonts w:hint="eastAsia" w:asciiTheme="minorEastAsia" w:hAnsiTheme="minorEastAsia" w:eastAsiaTheme="minorEastAsia" w:cstheme="minorEastAsia"/>
          <w:sz w:val="22"/>
          <w:szCs w:val="22"/>
          <w:highlight w:val="none"/>
        </w:rPr>
        <w:t>认证模式</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_Toc28196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_Toc7777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3 认证过程流程图</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_Toc7777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_Toc7937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4 认证申请</w:t>
      </w:r>
      <w:r>
        <w:rPr>
          <w:rFonts w:hint="eastAsia" w:asciiTheme="minorEastAsia" w:hAnsiTheme="minorEastAsia" w:eastAsiaTheme="minorEastAsia" w:cstheme="minorEastAsia"/>
          <w:sz w:val="22"/>
          <w:szCs w:val="22"/>
          <w:highlight w:val="none"/>
          <w:lang w:val="en-US" w:eastAsia="zh-CN"/>
        </w:rPr>
        <w:t>及评审</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_Toc7937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3</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_Toc32074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lang w:val="en-US" w:eastAsia="zh-CN"/>
        </w:rPr>
        <w:t>5 审核方案策划</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_Toc32074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4</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_Toc17761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lang w:val="en-US" w:eastAsia="zh-CN"/>
        </w:rPr>
        <w:t>6</w:t>
      </w:r>
      <w:r>
        <w:rPr>
          <w:rFonts w:hint="eastAsia" w:asciiTheme="minorEastAsia" w:hAnsiTheme="minorEastAsia" w:eastAsiaTheme="minorEastAsia" w:cstheme="minorEastAsia"/>
          <w:sz w:val="22"/>
          <w:szCs w:val="22"/>
          <w:highlight w:val="none"/>
        </w:rPr>
        <w:t xml:space="preserve"> 审核实施</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_Toc17761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4</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_Toc31223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lang w:val="en-US" w:eastAsia="zh-CN"/>
        </w:rPr>
        <w:t>7</w:t>
      </w:r>
      <w:r>
        <w:rPr>
          <w:rFonts w:hint="eastAsia" w:asciiTheme="minorEastAsia" w:hAnsiTheme="minorEastAsia" w:eastAsiaTheme="minorEastAsia" w:cstheme="minorEastAsia"/>
          <w:sz w:val="22"/>
          <w:szCs w:val="22"/>
          <w:highlight w:val="none"/>
        </w:rPr>
        <w:t xml:space="preserve"> 不符合</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_Toc31223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10</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_Toc21653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lang w:val="en-US" w:eastAsia="zh-CN"/>
        </w:rPr>
        <w:t>8</w:t>
      </w:r>
      <w:r>
        <w:rPr>
          <w:rFonts w:hint="eastAsia" w:asciiTheme="minorEastAsia" w:hAnsiTheme="minorEastAsia" w:eastAsiaTheme="minorEastAsia" w:cstheme="minorEastAsia"/>
          <w:sz w:val="22"/>
          <w:szCs w:val="22"/>
          <w:highlight w:val="none"/>
        </w:rPr>
        <w:t xml:space="preserve"> 审核报告</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_Toc21653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11</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_Toc16077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lang w:val="en-US" w:eastAsia="zh-CN"/>
        </w:rPr>
        <w:t>9</w:t>
      </w:r>
      <w:r>
        <w:rPr>
          <w:rFonts w:hint="eastAsia" w:asciiTheme="minorEastAsia" w:hAnsiTheme="minorEastAsia" w:eastAsiaTheme="minorEastAsia" w:cstheme="minorEastAsia"/>
          <w:sz w:val="22"/>
          <w:szCs w:val="22"/>
          <w:highlight w:val="none"/>
        </w:rPr>
        <w:t xml:space="preserve"> 认证决定</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_Toc16077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11</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_Toc10333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lang w:val="en-US" w:eastAsia="zh-CN"/>
        </w:rPr>
        <w:t>10</w:t>
      </w:r>
      <w:r>
        <w:rPr>
          <w:rFonts w:hint="eastAsia" w:asciiTheme="minorEastAsia" w:hAnsiTheme="minorEastAsia" w:eastAsiaTheme="minorEastAsia" w:cstheme="minorEastAsia"/>
          <w:sz w:val="22"/>
          <w:szCs w:val="22"/>
          <w:highlight w:val="none"/>
        </w:rPr>
        <w:t xml:space="preserve"> 认证的批准、</w:t>
      </w:r>
      <w:r>
        <w:rPr>
          <w:rFonts w:hint="eastAsia" w:asciiTheme="minorEastAsia" w:hAnsiTheme="minorEastAsia" w:eastAsiaTheme="minorEastAsia" w:cstheme="minorEastAsia"/>
          <w:sz w:val="22"/>
          <w:szCs w:val="22"/>
          <w:highlight w:val="none"/>
          <w:lang w:eastAsia="zh-CN"/>
        </w:rPr>
        <w:t>拒绝、</w:t>
      </w:r>
      <w:r>
        <w:rPr>
          <w:rFonts w:hint="eastAsia" w:asciiTheme="minorEastAsia" w:hAnsiTheme="minorEastAsia" w:eastAsiaTheme="minorEastAsia" w:cstheme="minorEastAsia"/>
          <w:sz w:val="22"/>
          <w:szCs w:val="22"/>
          <w:highlight w:val="none"/>
        </w:rPr>
        <w:t>保持、扩大、缩小、暂停、恢复和撤销的条件和程序</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_Toc10333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12</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_Toc28599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lang w:val="en-US" w:eastAsia="zh-CN"/>
        </w:rPr>
        <w:t>11</w:t>
      </w:r>
      <w:r>
        <w:rPr>
          <w:rFonts w:hint="eastAsia" w:asciiTheme="minorEastAsia" w:hAnsiTheme="minorEastAsia" w:eastAsiaTheme="minorEastAsia" w:cstheme="minorEastAsia"/>
          <w:sz w:val="22"/>
          <w:szCs w:val="22"/>
          <w:highlight w:val="none"/>
        </w:rPr>
        <w:t xml:space="preserve"> 认证证书和认证标志</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_Toc28599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21</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_Toc22394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lang w:val="en-US" w:eastAsia="zh-CN"/>
        </w:rPr>
        <w:t>12</w:t>
      </w:r>
      <w:r>
        <w:rPr>
          <w:rFonts w:hint="eastAsia" w:asciiTheme="minorEastAsia" w:hAnsiTheme="minorEastAsia" w:eastAsiaTheme="minorEastAsia" w:cstheme="minorEastAsia"/>
          <w:sz w:val="22"/>
          <w:szCs w:val="22"/>
          <w:highlight w:val="none"/>
        </w:rPr>
        <w:t xml:space="preserve"> </w:t>
      </w:r>
      <w:r>
        <w:rPr>
          <w:rFonts w:hint="eastAsia" w:asciiTheme="minorEastAsia" w:hAnsiTheme="minorEastAsia" w:eastAsiaTheme="minorEastAsia" w:cstheme="minorEastAsia"/>
          <w:sz w:val="22"/>
          <w:szCs w:val="22"/>
          <w:highlight w:val="none"/>
          <w:lang w:eastAsia="zh-CN"/>
        </w:rPr>
        <w:t>获证客户的</w:t>
      </w:r>
      <w:r>
        <w:rPr>
          <w:rFonts w:hint="eastAsia" w:asciiTheme="minorEastAsia" w:hAnsiTheme="minorEastAsia" w:eastAsiaTheme="minorEastAsia" w:cstheme="minorEastAsia"/>
          <w:sz w:val="22"/>
          <w:szCs w:val="22"/>
          <w:highlight w:val="none"/>
        </w:rPr>
        <w:t>信息通报</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_Toc22394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22</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_Toc18667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lang w:val="en-US" w:eastAsia="zh-CN"/>
        </w:rPr>
        <w:t>13</w:t>
      </w:r>
      <w:r>
        <w:rPr>
          <w:rFonts w:hint="eastAsia" w:asciiTheme="minorEastAsia" w:hAnsiTheme="minorEastAsia" w:eastAsiaTheme="minorEastAsia" w:cstheme="minorEastAsia"/>
          <w:sz w:val="22"/>
          <w:szCs w:val="22"/>
          <w:highlight w:val="none"/>
        </w:rPr>
        <w:t xml:space="preserve"> 认证要求变更</w:t>
      </w:r>
      <w:r>
        <w:rPr>
          <w:rFonts w:hint="eastAsia" w:asciiTheme="minorEastAsia" w:hAnsiTheme="minorEastAsia" w:eastAsiaTheme="minorEastAsia" w:cstheme="minorEastAsia"/>
          <w:sz w:val="22"/>
          <w:szCs w:val="22"/>
          <w:highlight w:val="none"/>
          <w:lang w:eastAsia="zh-CN"/>
        </w:rPr>
        <w:t>的条件和程序</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_Toc18667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22</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_Toc5089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1</w:t>
      </w:r>
      <w:r>
        <w:rPr>
          <w:rFonts w:hint="eastAsia" w:asciiTheme="minorEastAsia" w:hAnsiTheme="minorEastAsia" w:eastAsiaTheme="minorEastAsia" w:cstheme="minorEastAsia"/>
          <w:sz w:val="22"/>
          <w:szCs w:val="22"/>
          <w:highlight w:val="none"/>
          <w:lang w:val="en-US" w:eastAsia="zh-CN"/>
        </w:rPr>
        <w:t>4</w:t>
      </w:r>
      <w:r>
        <w:rPr>
          <w:rFonts w:hint="eastAsia" w:asciiTheme="minorEastAsia" w:hAnsiTheme="minorEastAsia" w:eastAsiaTheme="minorEastAsia" w:cstheme="minorEastAsia"/>
          <w:sz w:val="22"/>
          <w:szCs w:val="22"/>
          <w:highlight w:val="none"/>
        </w:rPr>
        <w:t xml:space="preserve"> 保密</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_Toc5089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23</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_Toc18643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1</w:t>
      </w:r>
      <w:r>
        <w:rPr>
          <w:rFonts w:hint="eastAsia" w:asciiTheme="minorEastAsia" w:hAnsiTheme="minorEastAsia" w:eastAsiaTheme="minorEastAsia" w:cstheme="minorEastAsia"/>
          <w:sz w:val="22"/>
          <w:szCs w:val="22"/>
          <w:highlight w:val="none"/>
          <w:lang w:val="en-US" w:eastAsia="zh-CN"/>
        </w:rPr>
        <w:t>5</w:t>
      </w:r>
      <w:r>
        <w:rPr>
          <w:rFonts w:hint="eastAsia" w:asciiTheme="minorEastAsia" w:hAnsiTheme="minorEastAsia" w:eastAsiaTheme="minorEastAsia" w:cstheme="minorEastAsia"/>
          <w:sz w:val="22"/>
          <w:szCs w:val="22"/>
          <w:highlight w:val="none"/>
        </w:rPr>
        <w:t xml:space="preserve"> 申诉/投诉、争议及处理</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_Toc18643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23</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_Toc19823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1</w:t>
      </w:r>
      <w:r>
        <w:rPr>
          <w:rFonts w:hint="eastAsia" w:asciiTheme="minorEastAsia" w:hAnsiTheme="minorEastAsia" w:eastAsiaTheme="minorEastAsia" w:cstheme="minorEastAsia"/>
          <w:sz w:val="22"/>
          <w:szCs w:val="22"/>
          <w:highlight w:val="none"/>
          <w:lang w:val="en-US" w:eastAsia="zh-CN"/>
        </w:rPr>
        <w:t>6</w:t>
      </w:r>
      <w:r>
        <w:rPr>
          <w:rFonts w:hint="eastAsia" w:asciiTheme="minorEastAsia" w:hAnsiTheme="minorEastAsia" w:eastAsiaTheme="minorEastAsia" w:cstheme="minorEastAsia"/>
          <w:sz w:val="22"/>
          <w:szCs w:val="22"/>
          <w:highlight w:val="none"/>
        </w:rPr>
        <w:t xml:space="preserve"> 费用</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_Toc19823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23</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_Toc26228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1</w:t>
      </w:r>
      <w:r>
        <w:rPr>
          <w:rFonts w:hint="eastAsia" w:asciiTheme="minorEastAsia" w:hAnsiTheme="minorEastAsia" w:eastAsiaTheme="minorEastAsia" w:cstheme="minorEastAsia"/>
          <w:sz w:val="22"/>
          <w:szCs w:val="22"/>
          <w:highlight w:val="none"/>
          <w:lang w:val="en-US" w:eastAsia="zh-CN"/>
        </w:rPr>
        <w:t>7</w:t>
      </w:r>
      <w:r>
        <w:rPr>
          <w:rFonts w:hint="eastAsia" w:asciiTheme="minorEastAsia" w:hAnsiTheme="minorEastAsia" w:eastAsiaTheme="minorEastAsia" w:cstheme="minorEastAsia"/>
          <w:sz w:val="22"/>
          <w:szCs w:val="22"/>
          <w:highlight w:val="none"/>
        </w:rPr>
        <w:t xml:space="preserve"> 公告</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_Toc26228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24</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pStyle w:val="30"/>
        <w:tabs>
          <w:tab w:val="right" w:leader="dot" w:pos="8312"/>
        </w:tabs>
        <w:spacing w:line="360" w:lineRule="auto"/>
        <w:rPr>
          <w:highlight w:val="none"/>
        </w:rPr>
      </w:pP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HYPERLINK \l _Toc13132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1</w:t>
      </w:r>
      <w:r>
        <w:rPr>
          <w:rFonts w:hint="eastAsia" w:asciiTheme="minorEastAsia" w:hAnsiTheme="minorEastAsia" w:eastAsiaTheme="minorEastAsia" w:cstheme="minorEastAsia"/>
          <w:sz w:val="22"/>
          <w:szCs w:val="22"/>
          <w:highlight w:val="none"/>
          <w:lang w:val="en-US" w:eastAsia="zh-CN"/>
        </w:rPr>
        <w:t>8</w:t>
      </w:r>
      <w:r>
        <w:rPr>
          <w:rFonts w:hint="eastAsia" w:asciiTheme="minorEastAsia" w:hAnsiTheme="minorEastAsia" w:eastAsiaTheme="minorEastAsia" w:cstheme="minorEastAsia"/>
          <w:sz w:val="22"/>
          <w:szCs w:val="22"/>
          <w:highlight w:val="none"/>
        </w:rPr>
        <w:t xml:space="preserve"> 附则</w:t>
      </w:r>
      <w:r>
        <w:rPr>
          <w:rFonts w:hint="eastAsia" w:asciiTheme="minorEastAsia" w:hAnsiTheme="minorEastAsia" w:eastAsiaTheme="minorEastAsia" w:cstheme="minorEastAsia"/>
          <w:sz w:val="22"/>
          <w:szCs w:val="22"/>
          <w:highlight w:val="none"/>
        </w:rPr>
        <w:tab/>
      </w:r>
      <w:r>
        <w:rPr>
          <w:rFonts w:hint="eastAsia" w:asciiTheme="minorEastAsia" w:hAnsiTheme="minorEastAsia" w:eastAsiaTheme="minorEastAsia" w:cstheme="minorEastAsia"/>
          <w:sz w:val="22"/>
          <w:szCs w:val="22"/>
          <w:highlight w:val="none"/>
        </w:rPr>
        <w:fldChar w:fldCharType="begin"/>
      </w:r>
      <w:r>
        <w:rPr>
          <w:rFonts w:hint="eastAsia" w:asciiTheme="minorEastAsia" w:hAnsiTheme="minorEastAsia" w:eastAsiaTheme="minorEastAsia" w:cstheme="minorEastAsia"/>
          <w:sz w:val="22"/>
          <w:szCs w:val="22"/>
          <w:highlight w:val="none"/>
        </w:rPr>
        <w:instrText xml:space="preserve"> PAGEREF _Toc13132 \h </w:instrText>
      </w:r>
      <w:r>
        <w:rPr>
          <w:rFonts w:hint="eastAsia" w:asciiTheme="minorEastAsia" w:hAnsiTheme="minorEastAsia" w:eastAsiaTheme="minorEastAsia" w:cstheme="minorEastAsia"/>
          <w:sz w:val="22"/>
          <w:szCs w:val="22"/>
          <w:highlight w:val="none"/>
        </w:rPr>
        <w:fldChar w:fldCharType="separate"/>
      </w:r>
      <w:r>
        <w:rPr>
          <w:rFonts w:hint="eastAsia" w:asciiTheme="minorEastAsia" w:hAnsiTheme="minorEastAsia" w:eastAsiaTheme="minorEastAsia" w:cstheme="minorEastAsia"/>
          <w:sz w:val="22"/>
          <w:szCs w:val="22"/>
          <w:highlight w:val="none"/>
        </w:rPr>
        <w:t>24</w:t>
      </w:r>
      <w:r>
        <w:rPr>
          <w:rFonts w:hint="eastAsia" w:asciiTheme="minorEastAsia" w:hAnsiTheme="minorEastAsia" w:eastAsiaTheme="minorEastAsia" w:cstheme="minorEastAsia"/>
          <w:sz w:val="22"/>
          <w:szCs w:val="22"/>
          <w:highlight w:val="none"/>
        </w:rPr>
        <w:fldChar w:fldCharType="end"/>
      </w:r>
      <w:r>
        <w:rPr>
          <w:rFonts w:hint="eastAsia" w:asciiTheme="minorEastAsia" w:hAnsiTheme="minorEastAsia" w:eastAsiaTheme="minorEastAsia" w:cstheme="minorEastAsia"/>
          <w:sz w:val="22"/>
          <w:szCs w:val="22"/>
          <w:highlight w:val="none"/>
        </w:rPr>
        <w:fldChar w:fldCharType="end"/>
      </w:r>
    </w:p>
    <w:p>
      <w:pPr>
        <w:rPr>
          <w:rFonts w:ascii="Times New Roman" w:hAnsi="Times New Roman" w:eastAsia="宋体" w:cs="Times New Roman"/>
          <w:kern w:val="2"/>
          <w:sz w:val="21"/>
          <w:szCs w:val="24"/>
          <w:highlight w:val="none"/>
          <w:lang w:val="en-US" w:eastAsia="zh-CN" w:bidi="ar-SA"/>
        </w:rPr>
      </w:pPr>
      <w:r>
        <w:rPr>
          <w:highlight w:val="none"/>
        </w:rPr>
        <w:fldChar w:fldCharType="end"/>
      </w:r>
    </w:p>
    <w:p>
      <w:pPr>
        <w:rPr>
          <w:rFonts w:ascii="Times New Roman" w:hAnsi="Times New Roman" w:eastAsia="宋体" w:cs="Times New Roman"/>
          <w:kern w:val="2"/>
          <w:sz w:val="21"/>
          <w:szCs w:val="24"/>
          <w:highlight w:val="none"/>
          <w:lang w:val="en-US" w:eastAsia="zh-CN" w:bidi="ar-SA"/>
        </w:rPr>
      </w:pPr>
    </w:p>
    <w:p>
      <w:pPr>
        <w:spacing w:line="360" w:lineRule="auto"/>
        <w:rPr>
          <w:highlight w:val="none"/>
        </w:rPr>
      </w:pPr>
      <w:r>
        <w:rPr>
          <w:highlight w:val="none"/>
        </w:rPr>
        <w:fldChar w:fldCharType="end"/>
      </w: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pStyle w:val="19"/>
        <w:spacing w:before="0" w:after="0"/>
        <w:outlineLvl w:val="0"/>
        <w:rPr>
          <w:rFonts w:ascii="黑体" w:hAnsi="黑体" w:eastAsia="黑体"/>
          <w:b w:val="0"/>
          <w:sz w:val="48"/>
          <w:szCs w:val="48"/>
          <w:highlight w:val="none"/>
        </w:rPr>
      </w:pPr>
      <w:bookmarkStart w:id="1" w:name="_Toc444776326"/>
      <w:bookmarkStart w:id="2" w:name="_Toc37"/>
      <w:bookmarkStart w:id="3" w:name="_Toc13945"/>
      <w:bookmarkStart w:id="4" w:name="_Toc11080"/>
      <w:bookmarkStart w:id="5" w:name="_Toc12376"/>
      <w:bookmarkStart w:id="6" w:name="_Toc28380"/>
      <w:bookmarkStart w:id="7" w:name="_Toc18059"/>
      <w:bookmarkStart w:id="8" w:name="_Toc440007487"/>
      <w:r>
        <w:rPr>
          <w:rFonts w:hint="eastAsia" w:ascii="黑体" w:hAnsi="黑体" w:eastAsia="黑体"/>
          <w:b w:val="0"/>
          <w:sz w:val="36"/>
          <w:szCs w:val="36"/>
          <w:highlight w:val="none"/>
          <w:lang w:eastAsia="zh-CN"/>
        </w:rPr>
        <w:t>人工智能</w:t>
      </w:r>
      <w:r>
        <w:rPr>
          <w:rFonts w:hint="eastAsia" w:ascii="黑体" w:hAnsi="黑体" w:eastAsia="黑体"/>
          <w:b w:val="0"/>
          <w:sz w:val="36"/>
          <w:szCs w:val="36"/>
          <w:highlight w:val="none"/>
        </w:rPr>
        <w:t>管理体系认证实施方案</w:t>
      </w:r>
      <w:bookmarkEnd w:id="1"/>
      <w:bookmarkEnd w:id="2"/>
      <w:bookmarkEnd w:id="3"/>
      <w:bookmarkEnd w:id="4"/>
      <w:bookmarkEnd w:id="5"/>
      <w:bookmarkEnd w:id="6"/>
      <w:bookmarkEnd w:id="7"/>
      <w:bookmarkEnd w:id="8"/>
    </w:p>
    <w:p>
      <w:pPr>
        <w:spacing w:line="360" w:lineRule="auto"/>
        <w:ind w:firstLine="720" w:firstLineChars="200"/>
        <w:jc w:val="center"/>
        <w:rPr>
          <w:rFonts w:ascii="黑体" w:eastAsia="黑体"/>
          <w:sz w:val="36"/>
          <w:szCs w:val="36"/>
          <w:highlight w:val="none"/>
        </w:rPr>
      </w:pPr>
    </w:p>
    <w:p>
      <w:pPr>
        <w:pStyle w:val="2"/>
        <w:spacing w:line="360" w:lineRule="auto"/>
        <w:rPr>
          <w:highlight w:val="none"/>
        </w:rPr>
      </w:pPr>
      <w:bookmarkStart w:id="9" w:name="_Toc85103622"/>
      <w:bookmarkStart w:id="10" w:name="_Toc85256247"/>
      <w:bookmarkStart w:id="11" w:name="_Toc9826"/>
      <w:bookmarkStart w:id="12" w:name="_Toc85105511"/>
      <w:bookmarkStart w:id="13" w:name="_Toc25835"/>
      <w:bookmarkStart w:id="14" w:name="_Toc185325622"/>
      <w:bookmarkStart w:id="15" w:name="_Toc32420"/>
      <w:bookmarkStart w:id="16" w:name="_Toc8117"/>
      <w:r>
        <w:rPr>
          <w:highlight w:val="none"/>
        </w:rPr>
        <w:t>1</w:t>
      </w:r>
      <w:r>
        <w:rPr>
          <w:rFonts w:hint="eastAsia"/>
          <w:highlight w:val="none"/>
        </w:rPr>
        <w:t xml:space="preserve"> 适用范围</w:t>
      </w:r>
      <w:bookmarkEnd w:id="9"/>
      <w:bookmarkEnd w:id="10"/>
      <w:bookmarkEnd w:id="11"/>
      <w:bookmarkEnd w:id="12"/>
      <w:bookmarkEnd w:id="13"/>
      <w:bookmarkEnd w:id="14"/>
      <w:bookmarkEnd w:id="15"/>
      <w:bookmarkEnd w:id="16"/>
    </w:p>
    <w:p>
      <w:pPr>
        <w:spacing w:line="360" w:lineRule="auto"/>
        <w:ind w:firstLine="480" w:firstLineChars="200"/>
        <w:rPr>
          <w:rFonts w:ascii="宋体" w:hAnsi="宋体"/>
          <w:sz w:val="24"/>
          <w:highlight w:val="none"/>
        </w:rPr>
      </w:pPr>
      <w:r>
        <w:rPr>
          <w:rFonts w:hint="eastAsia" w:ascii="宋体" w:hAnsi="宋体"/>
          <w:sz w:val="24"/>
          <w:highlight w:val="none"/>
        </w:rPr>
        <w:t>本认证方案适用于方圆标志认证集团有限公司（以下简称：CQM）实施</w:t>
      </w:r>
      <w:r>
        <w:rPr>
          <w:rFonts w:hint="eastAsia" w:ascii="宋体" w:hAnsi="宋体"/>
          <w:sz w:val="24"/>
          <w:highlight w:val="none"/>
          <w:lang w:eastAsia="zh-CN"/>
        </w:rPr>
        <w:t>人工智能</w:t>
      </w:r>
      <w:r>
        <w:rPr>
          <w:rFonts w:hint="eastAsia" w:ascii="宋体" w:hAnsi="宋体"/>
          <w:sz w:val="24"/>
          <w:highlight w:val="none"/>
        </w:rPr>
        <w:t>管理体系认证，满足第三方认证制度要求，作为提供认证服务的规范。必要时，在认证合同中补充相关的技术要求。</w:t>
      </w:r>
    </w:p>
    <w:p>
      <w:pPr>
        <w:spacing w:line="360" w:lineRule="auto"/>
        <w:ind w:firstLine="480" w:firstLineChars="200"/>
        <w:rPr>
          <w:rFonts w:ascii="宋体" w:hAnsi="宋体"/>
          <w:sz w:val="24"/>
          <w:highlight w:val="none"/>
        </w:rPr>
      </w:pPr>
      <w:r>
        <w:rPr>
          <w:rFonts w:hint="eastAsia" w:ascii="宋体" w:hAnsi="宋体"/>
          <w:sz w:val="24"/>
          <w:highlight w:val="none"/>
        </w:rPr>
        <w:t>如未做特别说明，本方案中管理体系指</w:t>
      </w:r>
      <w:r>
        <w:rPr>
          <w:rFonts w:hint="eastAsia" w:ascii="宋体" w:hAnsi="宋体"/>
          <w:sz w:val="24"/>
          <w:highlight w:val="none"/>
          <w:lang w:eastAsia="zh-CN"/>
        </w:rPr>
        <w:t>人工智能</w:t>
      </w:r>
      <w:r>
        <w:rPr>
          <w:rFonts w:hint="eastAsia" w:ascii="宋体" w:hAnsi="宋体"/>
          <w:sz w:val="24"/>
          <w:highlight w:val="none"/>
        </w:rPr>
        <w:t>管理体系。</w:t>
      </w:r>
    </w:p>
    <w:p>
      <w:pPr>
        <w:spacing w:line="360" w:lineRule="auto"/>
        <w:ind w:firstLine="480" w:firstLineChars="200"/>
        <w:rPr>
          <w:sz w:val="24"/>
          <w:highlight w:val="none"/>
        </w:rPr>
      </w:pPr>
      <w:r>
        <w:rPr>
          <w:rFonts w:hint="eastAsia"/>
          <w:sz w:val="24"/>
          <w:highlight w:val="none"/>
        </w:rPr>
        <w:t>本认证方案在认证双方签订合同时予以确认和采用。</w:t>
      </w:r>
      <w:bookmarkStart w:id="17" w:name="_Toc33598962"/>
      <w:bookmarkStart w:id="18" w:name="_Toc33600362"/>
      <w:bookmarkStart w:id="19" w:name="_Toc33598902"/>
      <w:bookmarkStart w:id="20" w:name="_Toc33598531"/>
      <w:bookmarkStart w:id="21" w:name="_Toc33600411"/>
      <w:bookmarkStart w:id="22" w:name="_Toc33599704"/>
      <w:bookmarkStart w:id="23" w:name="_Toc85105512"/>
      <w:bookmarkStart w:id="24" w:name="_Toc33599577"/>
      <w:bookmarkStart w:id="25" w:name="_Toc85103623"/>
      <w:bookmarkStart w:id="26" w:name="_Toc85256248"/>
    </w:p>
    <w:p>
      <w:pPr>
        <w:spacing w:line="360" w:lineRule="auto"/>
        <w:ind w:firstLine="480" w:firstLineChars="200"/>
        <w:rPr>
          <w:sz w:val="24"/>
          <w:highlight w:val="none"/>
        </w:rPr>
      </w:pPr>
    </w:p>
    <w:p>
      <w:pPr>
        <w:pStyle w:val="2"/>
        <w:spacing w:line="360" w:lineRule="auto"/>
        <w:rPr>
          <w:highlight w:val="none"/>
        </w:rPr>
      </w:pPr>
      <w:bookmarkStart w:id="27" w:name="_Toc185325623"/>
      <w:bookmarkStart w:id="28" w:name="_Toc31407"/>
      <w:bookmarkStart w:id="29" w:name="_Toc17149"/>
      <w:bookmarkStart w:id="30" w:name="_Toc23821"/>
      <w:bookmarkStart w:id="31" w:name="_Toc28196"/>
      <w:r>
        <w:rPr>
          <w:rFonts w:hint="eastAsia"/>
          <w:highlight w:val="none"/>
        </w:rPr>
        <w:t>2</w:t>
      </w:r>
      <w:r>
        <w:rPr>
          <w:rFonts w:hint="eastAsia"/>
          <w:highlight w:val="none"/>
        </w:rPr>
        <w:t xml:space="preserve"> </w:t>
      </w:r>
      <w:r>
        <w:rPr>
          <w:rFonts w:hint="eastAsia"/>
          <w:highlight w:val="none"/>
          <w:lang w:val="en-US" w:eastAsia="zh-CN"/>
        </w:rPr>
        <w:t>认证依据和</w:t>
      </w:r>
      <w:r>
        <w:rPr>
          <w:rFonts w:hint="eastAsia"/>
          <w:highlight w:val="none"/>
        </w:rPr>
        <w:t>认证模式</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spacing w:line="360" w:lineRule="auto"/>
        <w:ind w:firstLine="480" w:firstLineChars="200"/>
        <w:rPr>
          <w:rFonts w:hint="default" w:ascii="宋体" w:hAnsi="宋体" w:eastAsia="宋体"/>
          <w:sz w:val="24"/>
          <w:highlight w:val="none"/>
          <w:lang w:val="en-US" w:eastAsia="zh-CN"/>
        </w:rPr>
      </w:pPr>
      <w:r>
        <w:rPr>
          <w:rFonts w:hint="eastAsia" w:ascii="宋体" w:hAnsi="宋体"/>
          <w:sz w:val="24"/>
          <w:highlight w:val="none"/>
          <w:lang w:val="en-US" w:eastAsia="zh-CN"/>
        </w:rPr>
        <w:t>认证依据：</w:t>
      </w:r>
      <w:r>
        <w:rPr>
          <w:rFonts w:hint="eastAsia" w:ascii="宋体" w:hAnsi="宋体"/>
          <w:color w:val="auto"/>
          <w:sz w:val="24"/>
          <w:highlight w:val="none"/>
        </w:rPr>
        <w:t>ISO/IEC</w:t>
      </w:r>
      <w:r>
        <w:rPr>
          <w:rFonts w:hint="eastAsia" w:ascii="宋体" w:hAnsi="宋体"/>
          <w:color w:val="auto"/>
          <w:sz w:val="24"/>
          <w:highlight w:val="none"/>
          <w:lang w:val="en-US" w:eastAsia="zh-CN"/>
        </w:rPr>
        <w:t>42001:2023</w:t>
      </w:r>
    </w:p>
    <w:p>
      <w:pPr>
        <w:spacing w:line="360" w:lineRule="auto"/>
        <w:ind w:firstLine="480" w:firstLineChars="200"/>
        <w:rPr>
          <w:rFonts w:ascii="宋体" w:hAnsi="宋体"/>
          <w:sz w:val="24"/>
          <w:highlight w:val="none"/>
        </w:rPr>
      </w:pPr>
      <w:r>
        <w:rPr>
          <w:rFonts w:hint="eastAsia" w:ascii="宋体" w:hAnsi="宋体"/>
          <w:sz w:val="24"/>
          <w:highlight w:val="none"/>
        </w:rPr>
        <w:t>CQM首先对</w:t>
      </w:r>
      <w:r>
        <w:rPr>
          <w:rFonts w:hint="eastAsia" w:ascii="宋体" w:hAnsi="宋体"/>
          <w:sz w:val="24"/>
          <w:highlight w:val="none"/>
          <w:lang w:eastAsia="zh-CN"/>
        </w:rPr>
        <w:t>认证客户</w:t>
      </w:r>
      <w:r>
        <w:rPr>
          <w:rFonts w:hint="eastAsia" w:ascii="宋体" w:hAnsi="宋体"/>
          <w:sz w:val="24"/>
          <w:highlight w:val="none"/>
        </w:rPr>
        <w:t>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ascii="宋体" w:hAnsi="宋体"/>
          <w:sz w:val="24"/>
          <w:highlight w:val="none"/>
        </w:rPr>
      </w:pPr>
    </w:p>
    <w:p>
      <w:pPr>
        <w:pStyle w:val="2"/>
        <w:spacing w:line="360" w:lineRule="auto"/>
        <w:rPr>
          <w:highlight w:val="none"/>
        </w:rPr>
      </w:pPr>
      <w:bookmarkStart w:id="32" w:name="_Toc4248"/>
      <w:bookmarkStart w:id="33" w:name="_Toc85103624"/>
      <w:bookmarkStart w:id="34" w:name="_Toc12624"/>
      <w:bookmarkStart w:id="35" w:name="_Toc185325624"/>
      <w:bookmarkStart w:id="36" w:name="_Toc7777"/>
      <w:bookmarkStart w:id="37" w:name="_Toc85256249"/>
      <w:bookmarkStart w:id="38" w:name="_Toc22556"/>
      <w:bookmarkStart w:id="39" w:name="_Toc85105513"/>
      <w:r>
        <w:rPr>
          <w:rFonts w:hint="eastAsia"/>
          <w:highlight w:val="none"/>
        </w:rPr>
        <w:t>3 认证过程流程图</w:t>
      </w:r>
      <w:bookmarkEnd w:id="32"/>
      <w:bookmarkEnd w:id="33"/>
      <w:bookmarkEnd w:id="34"/>
      <w:bookmarkEnd w:id="35"/>
      <w:bookmarkEnd w:id="36"/>
      <w:bookmarkEnd w:id="37"/>
      <w:bookmarkEnd w:id="38"/>
      <w:bookmarkEnd w:id="39"/>
    </w:p>
    <w:p>
      <w:pPr>
        <w:spacing w:line="360" w:lineRule="auto"/>
        <w:rPr>
          <w:highlight w:val="none"/>
        </w:rPr>
      </w:pPr>
      <w:r>
        <w:rPr>
          <w:highlight w:val="none"/>
        </w:rPr>
        <w:drawing>
          <wp:anchor distT="0" distB="0" distL="114300" distR="114300" simplePos="0" relativeHeight="251665408" behindDoc="0" locked="0" layoutInCell="1" allowOverlap="1">
            <wp:simplePos x="0" y="0"/>
            <wp:positionH relativeFrom="column">
              <wp:posOffset>1146175</wp:posOffset>
            </wp:positionH>
            <wp:positionV relativeFrom="paragraph">
              <wp:posOffset>119380</wp:posOffset>
            </wp:positionV>
            <wp:extent cx="3105150" cy="3921125"/>
            <wp:effectExtent l="0" t="0" r="0" b="3175"/>
            <wp:wrapNone/>
            <wp:docPr id="1" name="对象 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对象 26"/>
                    <pic:cNvPicPr>
                      <a:picLocks noChangeAspect="true"/>
                    </pic:cNvPicPr>
                  </pic:nvPicPr>
                  <pic:blipFill>
                    <a:blip r:embed="rId11"/>
                    <a:stretch>
                      <a:fillRect/>
                    </a:stretch>
                  </pic:blipFill>
                  <pic:spPr>
                    <a:xfrm>
                      <a:off x="0" y="0"/>
                      <a:ext cx="3105150" cy="3921125"/>
                    </a:xfrm>
                    <a:prstGeom prst="rect">
                      <a:avLst/>
                    </a:prstGeom>
                    <a:noFill/>
                    <a:ln>
                      <a:noFill/>
                    </a:ln>
                  </pic:spPr>
                </pic:pic>
              </a:graphicData>
            </a:graphic>
          </wp:anchor>
        </w:drawing>
      </w: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pStyle w:val="2"/>
        <w:spacing w:line="360" w:lineRule="auto"/>
        <w:rPr>
          <w:highlight w:val="none"/>
        </w:rPr>
      </w:pPr>
      <w:bookmarkStart w:id="40" w:name="_Toc85256250"/>
      <w:bookmarkStart w:id="41" w:name="_Toc33598903"/>
      <w:bookmarkStart w:id="42" w:name="_Toc33599578"/>
      <w:bookmarkStart w:id="43" w:name="_Toc33598963"/>
      <w:bookmarkStart w:id="44" w:name="_Toc13377"/>
      <w:bookmarkStart w:id="45" w:name="_Toc30741"/>
      <w:bookmarkStart w:id="46" w:name="_Toc185325625"/>
      <w:bookmarkStart w:id="47" w:name="_Toc33598532"/>
      <w:bookmarkStart w:id="48" w:name="_Toc85103625"/>
      <w:bookmarkStart w:id="49" w:name="_Toc33600363"/>
      <w:bookmarkStart w:id="50" w:name="_Toc85105514"/>
      <w:bookmarkStart w:id="51" w:name="_Toc33599705"/>
      <w:bookmarkStart w:id="52" w:name="_Toc15986"/>
      <w:bookmarkStart w:id="53" w:name="_Toc33600412"/>
      <w:bookmarkStart w:id="54" w:name="_Toc7937"/>
      <w:r>
        <w:rPr>
          <w:rFonts w:hint="eastAsia"/>
          <w:highlight w:val="none"/>
        </w:rPr>
        <w:t>4 认证申请</w:t>
      </w:r>
      <w:bookmarkEnd w:id="40"/>
      <w:bookmarkEnd w:id="41"/>
      <w:bookmarkEnd w:id="42"/>
      <w:bookmarkEnd w:id="43"/>
      <w:bookmarkEnd w:id="44"/>
      <w:bookmarkEnd w:id="45"/>
      <w:bookmarkEnd w:id="46"/>
      <w:bookmarkEnd w:id="47"/>
      <w:bookmarkEnd w:id="48"/>
      <w:bookmarkEnd w:id="49"/>
      <w:bookmarkEnd w:id="50"/>
      <w:bookmarkEnd w:id="51"/>
      <w:bookmarkEnd w:id="52"/>
      <w:bookmarkEnd w:id="53"/>
      <w:r>
        <w:rPr>
          <w:rFonts w:hint="eastAsia"/>
          <w:highlight w:val="none"/>
          <w:lang w:val="en-US" w:eastAsia="zh-CN"/>
        </w:rPr>
        <w:t>及评审</w:t>
      </w:r>
      <w:bookmarkEnd w:id="54"/>
    </w:p>
    <w:p>
      <w:pPr>
        <w:spacing w:line="360" w:lineRule="auto"/>
        <w:rPr>
          <w:rFonts w:ascii="宋体" w:hAnsi="宋体" w:cs="宋体"/>
          <w:b/>
          <w:sz w:val="24"/>
          <w:highlight w:val="none"/>
        </w:rPr>
      </w:pPr>
      <w:r>
        <w:rPr>
          <w:rFonts w:hint="eastAsia" w:ascii="宋体" w:hAnsi="宋体" w:cs="宋体"/>
          <w:b/>
          <w:sz w:val="24"/>
          <w:highlight w:val="none"/>
        </w:rPr>
        <w:t>4.1申请条件</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 xml:space="preserve">认证客户具有明确的法律地位,客户具有企业营业执照、事业单位法人证书、社会团体登记证书、非企业法人登记证书等，可独立申请认证。其他类型的客户，应由具备资格的单位代为申请； </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国家、地方或行业有要求时，认证客户具有规定的行政许可文件,其申请认证范围应在法律地位文件和行政许可文件核准的范围内；</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按管理体系标准建立了文件化的管理体系。初次认证现场审核前已至少持续稳定运行了3个月，至少已实施一次完整的内审和管理评审或已编制实施计划，并承诺在证书有效期内，持续有效运行管理体系；</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认证客户承诺遵守国家的法律、法规及其他要求,承诺始终遵守认证的有关规定，承担与认证有关的法律责任，并有义务协助认证监管部门的监督检查，对有关事项的询问和调查如实提供相关材料和信息；</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认证客户在一年内，未被执法监管部门责令停业整顿或在全国企业信用信息公示系统中被列入“严重违法企业名单”</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hAnsi="宋体"/>
          <w:sz w:val="24"/>
          <w:szCs w:val="24"/>
          <w:highlight w:val="none"/>
        </w:rPr>
        <w:t>或违反国家相关法规，虚报、瞒报获证所需信息的情况；</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认证客户承诺获得CQM认证后，按规定使用认证证书和认证标志和有关信息，不得擅自利用管理体系认证证书的文字、符号误导公众认为其产品或服务</w:t>
      </w:r>
      <w:r>
        <w:rPr>
          <w:rFonts w:hint="eastAsia" w:hAnsi="宋体"/>
          <w:sz w:val="24"/>
          <w:szCs w:val="24"/>
          <w:highlight w:val="none"/>
          <w:lang w:eastAsia="zh-CN"/>
        </w:rPr>
        <w:t>；</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认证客户承诺按合同支付认证费用，并按规定接受监督；</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客户承诺获得CQM认证后，按照CQM要求向CQM通报管理体系变更的信息和其他可能影响管理体系持续满足认证标准要求的能力的事宜的信息，一般包括：客户及相关方有重大投诉；发生重大事故；相关情况发生变更（包括：法律地位、生产经营状况、组织状态或所有权变更、强制性认证或其他资质证书变更；法定代表人、最高管理者、管理者代表发生变更；生产经营或服务的工作场所变更；管理体系覆盖的活动范围变更；管理体系和重要过程的重大变更等）；出现影响管理体系运行的其他重要情况；</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认证审核期间，认证客户能够提供与拟认证范围相关的活动或过程；</w:t>
      </w:r>
    </w:p>
    <w:p>
      <w:pPr>
        <w:pStyle w:val="5"/>
        <w:numPr>
          <w:ilvl w:val="0"/>
          <w:numId w:val="1"/>
        </w:numPr>
        <w:spacing w:line="360" w:lineRule="auto"/>
        <w:ind w:left="839" w:leftChars="228" w:hanging="360" w:hangingChars="150"/>
        <w:rPr>
          <w:rFonts w:hAnsi="宋体"/>
          <w:sz w:val="24"/>
          <w:szCs w:val="24"/>
          <w:highlight w:val="none"/>
        </w:rPr>
      </w:pPr>
      <w:r>
        <w:rPr>
          <w:rFonts w:hint="eastAsia" w:hAnsi="宋体"/>
          <w:sz w:val="24"/>
          <w:szCs w:val="24"/>
          <w:highlight w:val="none"/>
        </w:rPr>
        <w:t>在有要求时，接受CNAS的见证评审及确认审核并提供必要的支持。</w:t>
      </w:r>
    </w:p>
    <w:p>
      <w:pPr>
        <w:spacing w:line="360" w:lineRule="auto"/>
        <w:rPr>
          <w:rFonts w:hint="eastAsia" w:ascii="Arial" w:hAnsi="Arial" w:cs="Arial"/>
          <w:color w:val="000000"/>
          <w:sz w:val="24"/>
          <w:highlight w:val="none"/>
          <w:lang w:val="en-US" w:eastAsia="zh-CN"/>
        </w:rPr>
      </w:pPr>
      <w:r>
        <w:rPr>
          <w:rFonts w:hint="eastAsia" w:ascii="Arial" w:hAnsi="Arial" w:cs="Arial"/>
          <w:color w:val="000000"/>
          <w:sz w:val="24"/>
          <w:highlight w:val="none"/>
          <w:lang w:val="en-US" w:eastAsia="zh-CN"/>
        </w:rPr>
        <w:t>4.2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numPr>
          <w:ilvl w:val="255"/>
          <w:numId w:val="0"/>
        </w:numPr>
        <w:spacing w:line="360" w:lineRule="auto"/>
        <w:rPr>
          <w:rFonts w:hint="eastAsia"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pStyle w:val="2"/>
        <w:spacing w:line="600" w:lineRule="auto"/>
        <w:rPr>
          <w:rFonts w:hint="default" w:ascii="宋体" w:hAnsi="宋体"/>
          <w:color w:val="C00000"/>
          <w:highlight w:val="none"/>
          <w:lang w:val="en-US" w:eastAsia="zh-CN"/>
        </w:rPr>
      </w:pPr>
      <w:bookmarkStart w:id="55" w:name="_Toc3502"/>
      <w:bookmarkStart w:id="56" w:name="_Toc31362"/>
      <w:bookmarkStart w:id="57" w:name="_Toc9070"/>
      <w:bookmarkStart w:id="58" w:name="_Toc26988"/>
      <w:bookmarkStart w:id="59" w:name="_Toc32057"/>
      <w:bookmarkStart w:id="60" w:name="_Toc32074"/>
      <w:bookmarkStart w:id="61" w:name="_Toc1997"/>
      <w:r>
        <w:rPr>
          <w:rFonts w:hint="eastAsia" w:ascii="宋体" w:hAnsi="宋体"/>
          <w:color w:val="auto"/>
          <w:highlight w:val="none"/>
          <w:lang w:val="en-US" w:eastAsia="zh-CN"/>
        </w:rPr>
        <w:t xml:space="preserve">5 </w:t>
      </w:r>
      <w:bookmarkEnd w:id="55"/>
      <w:bookmarkEnd w:id="56"/>
      <w:bookmarkEnd w:id="57"/>
      <w:r>
        <w:rPr>
          <w:rFonts w:hint="eastAsia" w:ascii="宋体" w:hAnsi="宋体"/>
          <w:color w:val="auto"/>
          <w:highlight w:val="none"/>
          <w:lang w:val="en-US" w:eastAsia="zh-CN"/>
        </w:rPr>
        <w:t>审核方案策划</w:t>
      </w:r>
      <w:bookmarkEnd w:id="58"/>
      <w:bookmarkEnd w:id="59"/>
      <w:bookmarkEnd w:id="60"/>
      <w:bookmarkEnd w:id="61"/>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numPr>
          <w:ilvl w:val="255"/>
          <w:numId w:val="0"/>
        </w:numPr>
        <w:spacing w:line="360" w:lineRule="auto"/>
        <w:rPr>
          <w:rFonts w:ascii="宋体" w:hAnsi="宋体" w:cs="宋体"/>
          <w:sz w:val="24"/>
          <w:highlight w:val="none"/>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pStyle w:val="2"/>
        <w:spacing w:line="360" w:lineRule="auto"/>
        <w:rPr>
          <w:rFonts w:ascii="宋体" w:hAnsi="宋体"/>
          <w:highlight w:val="none"/>
        </w:rPr>
      </w:pPr>
      <w:bookmarkStart w:id="62" w:name="_Toc32662"/>
      <w:bookmarkStart w:id="63" w:name="_Toc17761"/>
      <w:bookmarkStart w:id="64" w:name="_Toc185325626"/>
      <w:bookmarkStart w:id="65" w:name="_Toc12336"/>
      <w:bookmarkStart w:id="66" w:name="_Toc29208"/>
      <w:r>
        <w:rPr>
          <w:rFonts w:hint="eastAsia" w:ascii="宋体" w:hAnsi="宋体"/>
          <w:highlight w:val="none"/>
          <w:lang w:val="en-US" w:eastAsia="zh-CN"/>
        </w:rPr>
        <w:t>6</w:t>
      </w:r>
      <w:r>
        <w:rPr>
          <w:rFonts w:hint="eastAsia" w:ascii="宋体" w:hAnsi="宋体"/>
          <w:highlight w:val="none"/>
        </w:rPr>
        <w:t xml:space="preserve"> 审核实施</w:t>
      </w:r>
      <w:bookmarkEnd w:id="62"/>
      <w:bookmarkEnd w:id="63"/>
      <w:bookmarkEnd w:id="64"/>
      <w:bookmarkEnd w:id="65"/>
      <w:bookmarkEnd w:id="66"/>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.1 审核准则</w:t>
      </w:r>
    </w:p>
    <w:p>
      <w:pPr>
        <w:spacing w:line="360" w:lineRule="auto"/>
        <w:ind w:firstLine="480" w:firstLineChars="200"/>
        <w:rPr>
          <w:rFonts w:ascii="宋体" w:hAnsi="宋体"/>
          <w:sz w:val="24"/>
          <w:highlight w:val="none"/>
        </w:rPr>
      </w:pPr>
      <w:r>
        <w:rPr>
          <w:rFonts w:hint="eastAsia" w:ascii="宋体" w:hAnsi="宋体"/>
          <w:sz w:val="24"/>
          <w:highlight w:val="none"/>
        </w:rPr>
        <w:t>认证双方确认的审核依据标准如下：</w:t>
      </w:r>
    </w:p>
    <w:p>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ISO/IEC</w:t>
      </w:r>
      <w:r>
        <w:rPr>
          <w:rFonts w:hint="eastAsia" w:ascii="宋体" w:hAnsi="宋体"/>
          <w:color w:val="auto"/>
          <w:sz w:val="24"/>
          <w:highlight w:val="none"/>
          <w:lang w:val="en-US" w:eastAsia="zh-CN"/>
        </w:rPr>
        <w:t>42001:2023</w:t>
      </w:r>
      <w:r>
        <w:rPr>
          <w:rFonts w:hint="eastAsia" w:ascii="宋体" w:hAnsi="宋体"/>
          <w:color w:val="auto"/>
          <w:sz w:val="24"/>
          <w:highlight w:val="none"/>
        </w:rPr>
        <w:t>；</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审核准则还包括</w:t>
      </w:r>
      <w:r>
        <w:rPr>
          <w:rFonts w:hint="eastAsia" w:ascii="宋体" w:hAnsi="宋体"/>
          <w:sz w:val="24"/>
          <w:highlight w:val="none"/>
          <w:lang w:eastAsia="zh-CN"/>
        </w:rPr>
        <w:t>认证客户</w:t>
      </w:r>
      <w:r>
        <w:rPr>
          <w:rFonts w:hint="eastAsia" w:ascii="宋体" w:hAnsi="宋体"/>
          <w:sz w:val="24"/>
          <w:highlight w:val="none"/>
        </w:rPr>
        <w:t>所适用的方针、程序、标准、法律法规、管理体系相关要求、合同要求或行业规范。</w:t>
      </w:r>
    </w:p>
    <w:p>
      <w:pPr>
        <w:spacing w:line="360" w:lineRule="auto"/>
        <w:ind w:firstLine="480" w:firstLineChars="200"/>
        <w:jc w:val="left"/>
        <w:rPr>
          <w:rFonts w:ascii="宋体" w:hAnsi="宋体"/>
          <w:sz w:val="24"/>
          <w:highlight w:val="none"/>
        </w:rPr>
      </w:pPr>
      <w:r>
        <w:rPr>
          <w:rFonts w:hint="eastAsia" w:ascii="宋体" w:hAnsi="宋体" w:cs="宋体"/>
          <w:sz w:val="24"/>
          <w:highlight w:val="none"/>
        </w:rPr>
        <w:t>上述标准更新时，使用更新版本。</w:t>
      </w:r>
    </w:p>
    <w:p>
      <w:pPr>
        <w:pStyle w:val="3"/>
        <w:spacing w:before="0" w:after="0" w:line="360" w:lineRule="auto"/>
        <w:rPr>
          <w:rFonts w:ascii="宋体" w:hAnsi="宋体" w:eastAsia="宋体"/>
          <w:sz w:val="24"/>
          <w:highlight w:val="none"/>
          <w:lang w:val="en-GB"/>
        </w:rPr>
      </w:pPr>
      <w:bookmarkStart w:id="67" w:name="_Toc28263"/>
      <w:bookmarkStart w:id="68" w:name="_Toc185325628"/>
      <w:bookmarkStart w:id="69" w:name="_Toc444776333"/>
      <w:r>
        <w:rPr>
          <w:rFonts w:hint="eastAsia" w:ascii="宋体" w:hAnsi="宋体" w:eastAsia="宋体"/>
          <w:sz w:val="24"/>
          <w:highlight w:val="none"/>
          <w:lang w:eastAsia="zh-CN"/>
        </w:rPr>
        <w:t>6</w:t>
      </w:r>
      <w:r>
        <w:rPr>
          <w:rFonts w:ascii="宋体" w:hAnsi="宋体" w:eastAsia="宋体"/>
          <w:sz w:val="24"/>
          <w:highlight w:val="none"/>
        </w:rPr>
        <w:t xml:space="preserve">.2 </w:t>
      </w:r>
      <w:r>
        <w:rPr>
          <w:rFonts w:hint="eastAsia" w:ascii="宋体" w:hAnsi="宋体" w:eastAsia="宋体"/>
          <w:sz w:val="24"/>
          <w:highlight w:val="none"/>
        </w:rPr>
        <w:t>审核过程</w:t>
      </w:r>
      <w:bookmarkEnd w:id="67"/>
      <w:bookmarkEnd w:id="68"/>
      <w:bookmarkEnd w:id="69"/>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hint="eastAsia" w:ascii="宋体" w:hAnsi="宋体"/>
          <w:color w:val="FF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与管理体系标准和其他规范性文件的所有要求的符合情况；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依据关键绩效目标和指标，对绩效进行的监视、测量、报告和评审；</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管理体系和绩效中与遵守法律有关的方面；</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受审核方过程的运作控制；</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内部审核和管理评审实施情况；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管理职责的落实，包括针对方针的管理职责；</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spacing w:line="360" w:lineRule="auto"/>
        <w:ind w:firstLine="480" w:firstLineChars="200"/>
        <w:jc w:val="left"/>
        <w:rPr>
          <w:rFonts w:hint="eastAsia" w:ascii="宋体" w:hAnsi="宋体"/>
          <w:color w:val="000000"/>
          <w:sz w:val="24"/>
          <w:highlight w:val="none"/>
        </w:rPr>
      </w:pPr>
      <w:r>
        <w:rPr>
          <w:rFonts w:hint="eastAsia" w:hAnsi="宋体"/>
          <w:bCs/>
          <w:color w:val="000000"/>
          <w:sz w:val="24"/>
          <w:highlight w:val="none"/>
        </w:rPr>
        <w:t>如果认证客户不能在初次认证第二阶段结束后的规定时间内按要求关闭不符合，CQM将</w:t>
      </w:r>
      <w:r>
        <w:rPr>
          <w:rFonts w:hint="eastAsia" w:hAnsi="宋体"/>
          <w:color w:val="000000"/>
          <w:sz w:val="24"/>
          <w:highlight w:val="none"/>
        </w:rPr>
        <w:t>再实施一次第二阶段审核或不批准认证。</w:t>
      </w:r>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（如关注国家有关部门发布的质量信息公报、关注获证客户相关方的信息、获证客户有关信息的日常跟踪、审查获证客户及其运作的说明、要求获证客户提供文件和记录等）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任何变更（如资源、过程、组织结构、已识别的关键控制点等）；</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持续的运作控制</w:t>
      </w:r>
      <w:r>
        <w:rPr>
          <w:rFonts w:hint="eastAsia" w:ascii="宋体" w:hAnsi="宋体"/>
          <w:sz w:val="24"/>
          <w:highlight w:val="none"/>
          <w:lang w:val="en-US" w:eastAsia="zh-CN"/>
        </w:rPr>
        <w:t>人工智能管理体系</w:t>
      </w:r>
      <w:r>
        <w:rPr>
          <w:rFonts w:hint="eastAsia" w:ascii="宋体" w:hAnsi="宋体"/>
          <w:sz w:val="24"/>
          <w:highlight w:val="none"/>
        </w:rPr>
        <w:t>目标的实现情况；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内部审核和管理评审；</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投诉的处理；</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管理体系实施的有效性；</w:t>
      </w:r>
    </w:p>
    <w:p>
      <w:pPr>
        <w:numPr>
          <w:ilvl w:val="0"/>
          <w:numId w:val="3"/>
        </w:numPr>
        <w:spacing w:line="360" w:lineRule="auto"/>
        <w:jc w:val="left"/>
        <w:rPr>
          <w:rFonts w:hint="eastAsia" w:ascii="宋体" w:hAnsi="宋体"/>
          <w:color w:val="000000"/>
          <w:sz w:val="24"/>
          <w:highlight w:val="none"/>
        </w:rPr>
      </w:pPr>
      <w:r>
        <w:rPr>
          <w:rFonts w:hint="eastAsia" w:ascii="宋体" w:hAnsi="宋体"/>
          <w:color w:val="000000"/>
          <w:sz w:val="24"/>
          <w:highlight w:val="none"/>
        </w:rPr>
        <w:t>认证范围相关的</w:t>
      </w:r>
      <w:r>
        <w:rPr>
          <w:rFonts w:hint="eastAsia" w:ascii="宋体" w:hAnsi="宋体" w:cs="宋体"/>
          <w:color w:val="000000"/>
          <w:sz w:val="24"/>
          <w:highlight w:val="none"/>
        </w:rPr>
        <w:t>产品/服务/活动现场情况；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为持续改进而策划的活动的进展；</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针对上次审核中确定的不符合所采取的措施和效果；</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证书和标志的使用和（或）任何其他对认证资格的引用。</w:t>
      </w:r>
    </w:p>
    <w:p>
      <w:pPr>
        <w:spacing w:line="360" w:lineRule="auto"/>
        <w:ind w:left="480"/>
        <w:rPr>
          <w:rFonts w:hint="eastAsia" w:ascii="宋体" w:hAnsi="宋体"/>
          <w:sz w:val="24"/>
          <w:highlight w:val="none"/>
        </w:rPr>
      </w:pPr>
      <w:r>
        <w:rPr>
          <w:rFonts w:hint="eastAsia" w:ascii="宋体" w:hAnsi="宋体"/>
          <w:sz w:val="24"/>
          <w:highlight w:val="none"/>
        </w:rPr>
        <w:t>获证客户应保存全部投诉记录，需要时提供认证机构。</w:t>
      </w:r>
    </w:p>
    <w:p>
      <w:pPr>
        <w:pStyle w:val="9"/>
        <w:spacing w:line="360" w:lineRule="auto"/>
        <w:ind w:firstLine="480"/>
        <w:rPr>
          <w:rFonts w:hint="eastAsia"/>
          <w:sz w:val="24"/>
          <w:szCs w:val="24"/>
          <w:highlight w:val="none"/>
          <w:lang w:eastAsia="zh-CN"/>
        </w:rPr>
      </w:pPr>
      <w:r>
        <w:rPr>
          <w:rFonts w:hint="eastAsia"/>
          <w:sz w:val="24"/>
          <w:szCs w:val="24"/>
          <w:highlight w:val="none"/>
        </w:rPr>
        <w:t>CQM根据以上信息对获证客户管理体系进行再评价，确认其是否持续满足认证要求。</w:t>
      </w:r>
    </w:p>
    <w:p>
      <w:pPr>
        <w:pStyle w:val="9"/>
        <w:spacing w:line="360" w:lineRule="auto"/>
        <w:ind w:firstLine="480"/>
        <w:rPr>
          <w:sz w:val="24"/>
          <w:szCs w:val="24"/>
          <w:highlight w:val="none"/>
          <w:lang w:eastAsia="zh-CN"/>
        </w:rPr>
      </w:pPr>
      <w:r>
        <w:rPr>
          <w:rFonts w:hint="eastAsia"/>
          <w:sz w:val="24"/>
          <w:szCs w:val="24"/>
          <w:highlight w:val="none"/>
          <w:lang w:eastAsia="zh-CN"/>
        </w:rPr>
        <w:t>监督审核时，如认证客户没有按时关闭不符合，将可能导致认证证书的暂停或撤销。</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p>
    <w:p>
      <w:pPr>
        <w:spacing w:line="360" w:lineRule="auto"/>
        <w:ind w:left="-1" w:leftChars="-1" w:hanging="1"/>
        <w:rPr>
          <w:rFonts w:hint="eastAsia" w:ascii="宋体" w:hAnsi="宋体" w:cs="宋体"/>
          <w:kern w:val="0"/>
          <w:sz w:val="24"/>
          <w:highlight w:val="none"/>
        </w:rPr>
      </w:pPr>
      <w:r>
        <w:rPr>
          <w:rFonts w:hint="eastAsia" w:ascii="宋体" w:hAnsi="宋体"/>
          <w:sz w:val="24"/>
          <w:highlight w:val="none"/>
        </w:rPr>
        <w:t xml:space="preserve">    在证书有效期内，获证客户须接受监督审核，监督审核应至少每个日历年（应进行再认证的年份除外）进行一次。初次认证/再认证后的第一次监督审核应在认证决定日期起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此后，监督审核应至少每个日历年（应进行再认证的年份除外）进行一次，且两次监督审核的时间间隔不得超过15个月。</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4"/>
        </w:numPr>
        <w:spacing w:line="360" w:lineRule="auto"/>
        <w:rPr>
          <w:rFonts w:hint="eastAsia" w:ascii="宋体" w:hAnsi="宋体"/>
          <w:sz w:val="24"/>
          <w:highlight w:val="none"/>
        </w:rPr>
      </w:pPr>
      <w:r>
        <w:rPr>
          <w:rFonts w:hint="eastAsia" w:ascii="宋体" w:hAnsi="宋体"/>
          <w:sz w:val="24"/>
          <w:highlight w:val="none"/>
        </w:rPr>
        <w:t>获证客户对管理体系进行了重大更改；</w:t>
      </w:r>
    </w:p>
    <w:p>
      <w:pPr>
        <w:pStyle w:val="9"/>
        <w:numPr>
          <w:ilvl w:val="0"/>
          <w:numId w:val="4"/>
        </w:numPr>
        <w:spacing w:line="360" w:lineRule="auto"/>
        <w:ind w:firstLineChars="0"/>
        <w:rPr>
          <w:rFonts w:hint="eastAsia"/>
          <w:sz w:val="24"/>
          <w:szCs w:val="24"/>
          <w:highlight w:val="none"/>
        </w:rPr>
      </w:pPr>
      <w:r>
        <w:rPr>
          <w:rFonts w:hint="eastAsia"/>
          <w:sz w:val="24"/>
          <w:szCs w:val="24"/>
          <w:highlight w:val="none"/>
        </w:rPr>
        <w:t>有足够信息表明获证客户发生了组织机构、生产条件、产品变更等影响到其认证基础的更改；</w:t>
      </w:r>
    </w:p>
    <w:p>
      <w:pPr>
        <w:pStyle w:val="9"/>
        <w:numPr>
          <w:ilvl w:val="0"/>
          <w:numId w:val="4"/>
        </w:numPr>
        <w:spacing w:line="360" w:lineRule="auto"/>
        <w:ind w:firstLineChars="0"/>
        <w:rPr>
          <w:rFonts w:hint="eastAsia"/>
          <w:sz w:val="24"/>
          <w:szCs w:val="24"/>
          <w:highlight w:val="none"/>
        </w:rPr>
      </w:pPr>
      <w:r>
        <w:rPr>
          <w:rFonts w:hint="eastAsia"/>
          <w:sz w:val="24"/>
          <w:szCs w:val="24"/>
          <w:highlight w:val="none"/>
        </w:rPr>
        <w:t>获证客户出现</w:t>
      </w:r>
      <w:r>
        <w:rPr>
          <w:rFonts w:hint="eastAsia"/>
          <w:sz w:val="24"/>
          <w:szCs w:val="24"/>
          <w:highlight w:val="none"/>
          <w:lang w:val="en-US" w:eastAsia="zh-CN"/>
        </w:rPr>
        <w:t>人工智能相关</w:t>
      </w:r>
      <w:r>
        <w:rPr>
          <w:rFonts w:hint="eastAsia"/>
          <w:sz w:val="24"/>
          <w:szCs w:val="24"/>
          <w:highlight w:val="none"/>
        </w:rPr>
        <w:t>事故或用户提出对相关管理体系运行效果的投诉未得到处理时；</w:t>
      </w:r>
    </w:p>
    <w:p>
      <w:pPr>
        <w:pStyle w:val="9"/>
        <w:numPr>
          <w:ilvl w:val="0"/>
          <w:numId w:val="4"/>
        </w:numPr>
        <w:spacing w:line="360" w:lineRule="auto"/>
        <w:ind w:firstLineChars="0"/>
        <w:rPr>
          <w:rFonts w:hint="eastAsia"/>
          <w:sz w:val="24"/>
          <w:szCs w:val="24"/>
          <w:highlight w:val="none"/>
        </w:rPr>
      </w:pPr>
      <w:r>
        <w:rPr>
          <w:rFonts w:hint="eastAsia"/>
          <w:sz w:val="24"/>
          <w:szCs w:val="24"/>
          <w:highlight w:val="none"/>
          <w:lang w:val="en-GB"/>
        </w:rPr>
        <w:t>获证</w:t>
      </w:r>
      <w:r>
        <w:rPr>
          <w:rFonts w:hint="eastAsia"/>
          <w:sz w:val="24"/>
          <w:szCs w:val="24"/>
          <w:highlight w:val="none"/>
          <w:lang w:val="en-GB" w:eastAsia="zh-CN"/>
        </w:rPr>
        <w:t>客户</w:t>
      </w:r>
      <w:r>
        <w:rPr>
          <w:rFonts w:hint="eastAsia"/>
          <w:sz w:val="24"/>
          <w:szCs w:val="24"/>
          <w:highlight w:val="none"/>
          <w:lang w:val="en-GB"/>
        </w:rPr>
        <w:t>的产品</w:t>
      </w:r>
      <w:r>
        <w:rPr>
          <w:rFonts w:hint="eastAsia"/>
          <w:sz w:val="24"/>
          <w:szCs w:val="24"/>
          <w:highlight w:val="none"/>
          <w:lang w:val="en-GB" w:eastAsia="zh-CN"/>
        </w:rPr>
        <w:t>和服务被</w:t>
      </w:r>
      <w:r>
        <w:rPr>
          <w:rFonts w:hint="eastAsia"/>
          <w:sz w:val="24"/>
          <w:szCs w:val="24"/>
          <w:highlight w:val="none"/>
          <w:lang w:val="en-GB"/>
        </w:rPr>
        <w:t>国家</w:t>
      </w:r>
      <w:r>
        <w:rPr>
          <w:rFonts w:hint="eastAsia"/>
          <w:sz w:val="24"/>
          <w:szCs w:val="24"/>
          <w:highlight w:val="none"/>
          <w:lang w:val="en-GB" w:eastAsia="zh-CN"/>
        </w:rPr>
        <w:t>行政主管部门在监督</w:t>
      </w:r>
      <w:r>
        <w:rPr>
          <w:rFonts w:hint="eastAsia"/>
          <w:sz w:val="24"/>
          <w:szCs w:val="24"/>
          <w:highlight w:val="none"/>
          <w:lang w:val="en-GB"/>
        </w:rPr>
        <w:t>抽查中被查出不合格时</w:t>
      </w:r>
      <w:r>
        <w:rPr>
          <w:rFonts w:hint="eastAsia"/>
          <w:sz w:val="24"/>
          <w:szCs w:val="24"/>
          <w:highlight w:val="none"/>
          <w:lang w:eastAsia="zh-CN"/>
        </w:rPr>
        <w:t>；</w:t>
      </w:r>
    </w:p>
    <w:p>
      <w:pPr>
        <w:pStyle w:val="9"/>
        <w:numPr>
          <w:ilvl w:val="0"/>
          <w:numId w:val="4"/>
        </w:numPr>
        <w:spacing w:line="360" w:lineRule="auto"/>
        <w:ind w:firstLineChars="0"/>
        <w:rPr>
          <w:sz w:val="24"/>
          <w:szCs w:val="24"/>
          <w:highlight w:val="none"/>
        </w:rPr>
      </w:pPr>
      <w:r>
        <w:rPr>
          <w:rFonts w:hint="eastAsia"/>
          <w:sz w:val="24"/>
          <w:szCs w:val="24"/>
          <w:highlight w:val="none"/>
        </w:rPr>
        <w:t>其他需要考虑的情况。</w:t>
      </w:r>
      <w:bookmarkStart w:id="70" w:name="_Toc33600389"/>
      <w:bookmarkStart w:id="71" w:name="_Toc33599599"/>
      <w:bookmarkStart w:id="72" w:name="_Toc33600433"/>
      <w:bookmarkStart w:id="73" w:name="_Toc33599726"/>
    </w:p>
    <w:bookmarkEnd w:id="70"/>
    <w:bookmarkEnd w:id="71"/>
    <w:bookmarkEnd w:id="72"/>
    <w:bookmarkEnd w:id="73"/>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9"/>
        <w:spacing w:line="360" w:lineRule="auto"/>
        <w:ind w:firstLine="480"/>
        <w:rPr>
          <w:rFonts w:hint="eastAsia"/>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w:t>
      </w:r>
      <w:r>
        <w:rPr>
          <w:rFonts w:hint="eastAsia"/>
          <w:color w:val="auto"/>
          <w:sz w:val="24"/>
          <w:szCs w:val="24"/>
          <w:highlight w:val="none"/>
          <w:lang w:eastAsia="zh-CN"/>
        </w:rPr>
        <w:t>6</w:t>
      </w:r>
      <w:r>
        <w:rPr>
          <w:rFonts w:hint="eastAsia"/>
          <w:color w:val="auto"/>
          <w:sz w:val="24"/>
          <w:szCs w:val="24"/>
          <w:highlight w:val="none"/>
        </w:rPr>
        <w:t>.2.1条实施。</w:t>
      </w:r>
    </w:p>
    <w:p>
      <w:pPr>
        <w:pStyle w:val="9"/>
        <w:spacing w:line="360" w:lineRule="auto"/>
        <w:ind w:firstLine="480"/>
        <w:rPr>
          <w:rFonts w:hint="eastAsia"/>
          <w:color w:val="auto"/>
          <w:sz w:val="24"/>
          <w:szCs w:val="24"/>
          <w:highlight w:val="none"/>
        </w:rPr>
      </w:pPr>
      <w:r>
        <w:rPr>
          <w:rFonts w:hint="eastAsia"/>
          <w:color w:val="auto"/>
          <w:sz w:val="24"/>
          <w:szCs w:val="24"/>
          <w:highlight w:val="none"/>
        </w:rPr>
        <w:t>在对获证客户的日常监督中，发现获证客户的出现严重影响管理体系运作的重大变更时，或对获证客户的投诉分析和其他信息表明获证客户不再满足认证要求时，将安排特殊审核或与获证客户商定提前安排再认证审核。</w:t>
      </w:r>
    </w:p>
    <w:p>
      <w:pPr>
        <w:spacing w:after="156" w:afterLines="50" w:line="360" w:lineRule="auto"/>
        <w:ind w:firstLine="480" w:firstLineChars="200"/>
        <w:rPr>
          <w:rFonts w:hint="eastAsia"/>
          <w:color w:val="000000"/>
          <w:sz w:val="24"/>
          <w:highlight w:val="none"/>
        </w:rPr>
      </w:pPr>
      <w:r>
        <w:rPr>
          <w:rFonts w:hint="eastAsia" w:ascii="宋体" w:hAnsi="宋体"/>
          <w:color w:val="000000"/>
          <w:sz w:val="24"/>
          <w:highlight w:val="none"/>
        </w:rPr>
        <w:t>再认证时通常可不进行一阶段审核，但当获证客户的管理体系和获证客户的内外部运作环境有重大变化时，再认证审核活动可能需要有第一阶段审核</w:t>
      </w:r>
      <w:r>
        <w:rPr>
          <w:rFonts w:hint="eastAsia"/>
          <w:color w:val="000000"/>
          <w:sz w:val="24"/>
          <w:highlight w:val="none"/>
        </w:rPr>
        <w:t>。</w:t>
      </w:r>
    </w:p>
    <w:p>
      <w:pPr>
        <w:spacing w:after="156" w:afterLines="50" w:line="360" w:lineRule="auto"/>
        <w:ind w:firstLine="480" w:firstLineChars="200"/>
        <w:rPr>
          <w:rFonts w:hint="eastAsia"/>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9"/>
        <w:spacing w:line="360" w:lineRule="auto"/>
        <w:ind w:firstLine="480"/>
        <w:rPr>
          <w:rFonts w:hint="eastAsia"/>
          <w:sz w:val="24"/>
          <w:szCs w:val="24"/>
          <w:highlight w:val="none"/>
          <w:lang w:val="en-GB"/>
        </w:rPr>
      </w:pPr>
      <w:r>
        <w:rPr>
          <w:rFonts w:hint="eastAsia"/>
          <w:sz w:val="24"/>
          <w:szCs w:val="24"/>
          <w:highlight w:val="none"/>
          <w:lang w:val="en-GB"/>
        </w:rPr>
        <w:t>针对已获证的客户，</w:t>
      </w:r>
      <w:r>
        <w:rPr>
          <w:rFonts w:hint="eastAsia"/>
          <w:sz w:val="24"/>
          <w:szCs w:val="24"/>
          <w:highlight w:val="none"/>
          <w:lang w:val="en-GB" w:eastAsia="zh-CN"/>
        </w:rPr>
        <w:t>CQM</w:t>
      </w:r>
      <w:r>
        <w:rPr>
          <w:rFonts w:hint="eastAsia"/>
          <w:sz w:val="24"/>
          <w:szCs w:val="24"/>
          <w:highlight w:val="none"/>
          <w:lang w:val="en-GB"/>
        </w:rPr>
        <w:t>对扩大认证范围的申请进行评审，确定能否予以扩大的决定所需的审核活动，这一工作可与监督审核同时进行。</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rFonts w:hint="eastAsia"/>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rFonts w:hint="eastAsia"/>
          <w:highlight w:val="none"/>
          <w:lang w:val="en-GB"/>
        </w:rPr>
      </w:pPr>
      <w:r>
        <w:rPr>
          <w:rFonts w:hint="eastAsia"/>
          <w:sz w:val="24"/>
          <w:highlight w:val="none"/>
          <w:lang w:val="en-GB"/>
        </w:rPr>
        <w:t>获证客户的产品和服务被国家行政主管部门在监督抽查中被查出不合格时，CQM将对获证客户实施特殊审核。如获证客户不接受特殊审核，认证证书将被暂停。</w:t>
      </w:r>
    </w:p>
    <w:p>
      <w:pPr>
        <w:pStyle w:val="3"/>
        <w:spacing w:before="0" w:after="0" w:line="360" w:lineRule="auto"/>
        <w:rPr>
          <w:rFonts w:hint="eastAsia" w:ascii="宋体" w:hAnsi="宋体" w:eastAsia="宋体"/>
          <w:sz w:val="24"/>
          <w:highlight w:val="none"/>
          <w:shd w:val="pct10" w:color="auto" w:fill="FFFFFF"/>
        </w:rPr>
      </w:pPr>
      <w:bookmarkStart w:id="74" w:name="_Toc444776334"/>
      <w:bookmarkStart w:id="75" w:name="_Toc9355"/>
      <w:bookmarkStart w:id="76" w:name="_Toc185325629"/>
      <w:r>
        <w:rPr>
          <w:rFonts w:hint="eastAsia" w:ascii="宋体" w:hAnsi="宋体" w:eastAsia="宋体"/>
          <w:sz w:val="24"/>
          <w:highlight w:val="none"/>
          <w:lang w:eastAsia="zh-CN"/>
        </w:rPr>
        <w:t>6</w:t>
      </w:r>
      <w:r>
        <w:rPr>
          <w:rFonts w:hint="eastAsia" w:ascii="宋体" w:hAnsi="宋体" w:eastAsia="宋体"/>
          <w:sz w:val="24"/>
          <w:highlight w:val="none"/>
        </w:rPr>
        <w:t>.</w:t>
      </w:r>
      <w:r>
        <w:rPr>
          <w:rFonts w:ascii="宋体" w:hAnsi="宋体" w:eastAsia="宋体"/>
          <w:sz w:val="24"/>
          <w:highlight w:val="none"/>
        </w:rPr>
        <w:t>3</w:t>
      </w:r>
      <w:r>
        <w:rPr>
          <w:rFonts w:hint="eastAsia" w:ascii="宋体" w:hAnsi="宋体" w:eastAsia="宋体"/>
          <w:sz w:val="24"/>
          <w:highlight w:val="none"/>
        </w:rPr>
        <w:t xml:space="preserve"> 现场审核活动实施</w:t>
      </w:r>
      <w:bookmarkEnd w:id="74"/>
      <w:bookmarkEnd w:id="75"/>
      <w:bookmarkEnd w:id="76"/>
    </w:p>
    <w:p>
      <w:pPr>
        <w:spacing w:line="360" w:lineRule="auto"/>
        <w:ind w:firstLine="480"/>
        <w:jc w:val="left"/>
        <w:rPr>
          <w:rFonts w:hint="eastAsia"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hint="eastAsia"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hint="eastAsia"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77" w:name="_Toc30792"/>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77"/>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78" w:name="_Toc3969"/>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78"/>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79" w:name="_Toc1001"/>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79"/>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pStyle w:val="2"/>
        <w:spacing w:line="600" w:lineRule="auto"/>
        <w:rPr>
          <w:color w:val="000000"/>
          <w:highlight w:val="none"/>
        </w:rPr>
      </w:pPr>
      <w:bookmarkStart w:id="80" w:name="_Toc3051"/>
      <w:bookmarkStart w:id="81" w:name="_Toc12520"/>
      <w:bookmarkStart w:id="82" w:name="_Toc4952"/>
      <w:bookmarkStart w:id="83" w:name="_Toc24304"/>
      <w:r>
        <w:rPr>
          <w:rFonts w:hint="eastAsia"/>
          <w:highlight w:val="none"/>
          <w:lang w:val="en-US" w:eastAsia="zh-CN"/>
        </w:rPr>
        <w:t>10</w:t>
      </w:r>
      <w:r>
        <w:rPr>
          <w:rFonts w:hint="eastAsia"/>
          <w:highlight w:val="none"/>
        </w:rPr>
        <w:t xml:space="preserve"> 认证的批</w:t>
      </w:r>
      <w:r>
        <w:rPr>
          <w:rFonts w:hint="eastAsia"/>
          <w:color w:val="000000"/>
          <w:highlight w:val="none"/>
        </w:rPr>
        <w:t>准、</w:t>
      </w:r>
      <w:r>
        <w:rPr>
          <w:rFonts w:hint="eastAsia"/>
          <w:color w:val="000000"/>
          <w:highlight w:val="none"/>
          <w:lang w:eastAsia="zh-CN"/>
        </w:rPr>
        <w:t>拒绝、</w:t>
      </w:r>
      <w:r>
        <w:rPr>
          <w:rFonts w:hint="eastAsia"/>
          <w:color w:val="000000"/>
          <w:highlight w:val="none"/>
        </w:rPr>
        <w:t>保持、扩大、缩小、暂停、恢复和撤销的条件和程序</w:t>
      </w:r>
      <w:bookmarkEnd w:id="80"/>
      <w:bookmarkEnd w:id="81"/>
      <w:bookmarkEnd w:id="82"/>
      <w:bookmarkEnd w:id="83"/>
    </w:p>
    <w:p>
      <w:pPr>
        <w:pStyle w:val="3"/>
        <w:spacing w:before="0" w:after="0" w:line="360" w:lineRule="auto"/>
        <w:rPr>
          <w:rFonts w:hint="eastAsia" w:ascii="宋体" w:hAnsi="宋体" w:eastAsia="宋体"/>
          <w:color w:val="000000"/>
          <w:sz w:val="24"/>
          <w:highlight w:val="none"/>
        </w:rPr>
      </w:pPr>
      <w:bookmarkStart w:id="84" w:name="_Toc85103627"/>
      <w:bookmarkStart w:id="85" w:name="_Toc185325631"/>
      <w:bookmarkStart w:id="86" w:name="_Toc85256252"/>
      <w:bookmarkStart w:id="87" w:name="_Toc85105516"/>
      <w:bookmarkStart w:id="88" w:name="_Toc444776336"/>
      <w:bookmarkStart w:id="89" w:name="_Toc30897"/>
      <w:r>
        <w:rPr>
          <w:rFonts w:hint="eastAsia" w:ascii="宋体" w:hAnsi="宋体" w:eastAsia="宋体"/>
          <w:color w:val="000000"/>
          <w:sz w:val="24"/>
          <w:highlight w:val="none"/>
          <w:lang w:val="en-US" w:eastAsia="zh-CN"/>
        </w:rPr>
        <w:t>10</w:t>
      </w:r>
      <w:r>
        <w:rPr>
          <w:rFonts w:hint="eastAsia" w:ascii="宋体" w:hAnsi="宋体" w:eastAsia="宋体"/>
          <w:color w:val="000000"/>
          <w:sz w:val="24"/>
          <w:highlight w:val="none"/>
        </w:rPr>
        <w:t xml:space="preserve">.1 </w:t>
      </w:r>
      <w:bookmarkEnd w:id="84"/>
      <w:bookmarkEnd w:id="85"/>
      <w:bookmarkEnd w:id="86"/>
      <w:bookmarkEnd w:id="87"/>
      <w:r>
        <w:rPr>
          <w:rFonts w:hint="eastAsia" w:ascii="宋体" w:hAnsi="宋体" w:eastAsia="宋体"/>
          <w:color w:val="000000"/>
          <w:sz w:val="24"/>
          <w:highlight w:val="none"/>
        </w:rPr>
        <w:t>批准认证</w:t>
      </w:r>
      <w:r>
        <w:rPr>
          <w:rFonts w:hint="eastAsia" w:ascii="宋体" w:hAnsi="宋体" w:eastAsia="宋体"/>
          <w:color w:val="000000"/>
          <w:sz w:val="24"/>
          <w:highlight w:val="none"/>
          <w:lang w:eastAsia="zh-CN"/>
        </w:rPr>
        <w:t>范围</w:t>
      </w:r>
      <w:r>
        <w:rPr>
          <w:rFonts w:hint="eastAsia" w:ascii="宋体" w:hAnsi="宋体" w:eastAsia="宋体"/>
          <w:color w:val="000000"/>
          <w:sz w:val="24"/>
          <w:highlight w:val="none"/>
        </w:rPr>
        <w:t>的条件和程序</w:t>
      </w:r>
      <w:bookmarkEnd w:id="88"/>
      <w:bookmarkEnd w:id="89"/>
    </w:p>
    <w:p>
      <w:pPr>
        <w:spacing w:line="360" w:lineRule="auto"/>
        <w:rPr>
          <w:rFonts w:hint="eastAsia"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认证客户的申请材料真实、准确、有效；</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认证客户建立和实施的相关管理体系符合认证标准/规范性文件要求，审核组提出推荐认证的结论意见；</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认证客户申请认证范围在法律地位文件和资质规定的范围内；</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国家或地方或行业有要求时，认证客户申请认证范围内的组织单元、产品、服务及其过程和活动已满足适用的法律法规的要求；</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至少近一年来，认证客户申请认证范围内未发生重大质量/环境/职业健康安全事故或国家检查不合格；</w:t>
      </w:r>
    </w:p>
    <w:p>
      <w:pPr>
        <w:numPr>
          <w:ilvl w:val="0"/>
          <w:numId w:val="5"/>
        </w:numPr>
        <w:adjustRightInd w:val="0"/>
        <w:snapToGrid w:val="0"/>
        <w:spacing w:line="360" w:lineRule="auto"/>
        <w:rPr>
          <w:rFonts w:hint="eastAsia" w:ascii="宋体" w:hAnsi="宋体"/>
          <w:sz w:val="24"/>
          <w:highlight w:val="none"/>
        </w:rPr>
      </w:pPr>
      <w:r>
        <w:rPr>
          <w:rFonts w:hint="eastAsia" w:ascii="宋体" w:hAnsi="宋体"/>
          <w:sz w:val="24"/>
          <w:highlight w:val="none"/>
        </w:rPr>
        <w:t>认证客户已与方圆签署认证合同，承诺始终遵守认证的有关规定，并按照认证合同规定缴纳认证费用。</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.1.2 批准认证资格的程序</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认证客户向CQM正式提交认证申请书和相关附件；</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CQM向认证客户颁发认证证书，要求获证方按规定使用认证标志。</w:t>
      </w:r>
    </w:p>
    <w:p>
      <w:pPr>
        <w:pStyle w:val="3"/>
        <w:spacing w:before="0" w:after="0" w:line="360" w:lineRule="auto"/>
        <w:rPr>
          <w:rFonts w:hint="eastAsia" w:ascii="宋体" w:hAnsi="宋体" w:eastAsia="宋体"/>
          <w:sz w:val="24"/>
          <w:highlight w:val="none"/>
        </w:rPr>
      </w:pPr>
      <w:bookmarkStart w:id="90" w:name="_Toc444776337"/>
      <w:bookmarkStart w:id="91" w:name="_Toc17175"/>
      <w:r>
        <w:rPr>
          <w:rFonts w:hint="eastAsia" w:ascii="宋体" w:hAnsi="宋体" w:eastAsia="宋体"/>
          <w:sz w:val="24"/>
          <w:highlight w:val="none"/>
          <w:lang w:val="en-US" w:eastAsia="zh-CN"/>
        </w:rPr>
        <w:t>10</w:t>
      </w:r>
      <w:r>
        <w:rPr>
          <w:rFonts w:hint="eastAsia" w:ascii="宋体" w:hAnsi="宋体" w:eastAsia="宋体"/>
          <w:sz w:val="24"/>
          <w:highlight w:val="none"/>
        </w:rPr>
        <w:t xml:space="preserve">.2 </w:t>
      </w:r>
      <w:r>
        <w:rPr>
          <w:rFonts w:hint="eastAsia" w:ascii="宋体" w:hAnsi="宋体" w:eastAsia="宋体"/>
          <w:sz w:val="24"/>
          <w:highlight w:val="none"/>
          <w:lang w:eastAsia="zh-CN"/>
        </w:rPr>
        <w:t>拒绝</w:t>
      </w:r>
      <w:r>
        <w:rPr>
          <w:rFonts w:hint="eastAsia" w:ascii="宋体" w:hAnsi="宋体" w:eastAsia="宋体"/>
          <w:sz w:val="24"/>
          <w:highlight w:val="none"/>
        </w:rPr>
        <w:t>认证</w:t>
      </w:r>
      <w:r>
        <w:rPr>
          <w:rFonts w:hint="eastAsia" w:ascii="宋体" w:hAnsi="宋体" w:eastAsia="宋体"/>
          <w:sz w:val="24"/>
          <w:highlight w:val="none"/>
          <w:lang w:eastAsia="zh-CN"/>
        </w:rPr>
        <w:t>注册</w:t>
      </w:r>
      <w:r>
        <w:rPr>
          <w:rFonts w:hint="eastAsia" w:ascii="宋体" w:hAnsi="宋体" w:eastAsia="宋体"/>
          <w:sz w:val="24"/>
          <w:highlight w:val="none"/>
        </w:rPr>
        <w:t>的条件和程序</w:t>
      </w:r>
      <w:bookmarkEnd w:id="90"/>
      <w:bookmarkEnd w:id="91"/>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.2.1 拒绝认证资格的条件</w:t>
      </w:r>
    </w:p>
    <w:p>
      <w:pPr>
        <w:numPr>
          <w:ilvl w:val="0"/>
          <w:numId w:val="7"/>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r>
        <w:rPr>
          <w:rFonts w:ascii="宋体" w:hAnsi="宋体"/>
          <w:sz w:val="24"/>
          <w:highlight w:val="none"/>
        </w:rPr>
        <w:t xml:space="preserve"> </w:t>
      </w:r>
    </w:p>
    <w:p>
      <w:pPr>
        <w:numPr>
          <w:ilvl w:val="0"/>
          <w:numId w:val="7"/>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认证客户的管理体系有重大缺陷，不符合认证标准的要求，或认证客户存在重大</w:t>
      </w:r>
      <w:r>
        <w:rPr>
          <w:rFonts w:hint="eastAsia" w:ascii="宋体" w:hAnsi="宋体" w:cs="宋体"/>
          <w:sz w:val="24"/>
          <w:highlight w:val="none"/>
          <w:lang w:val="en-US" w:eastAsia="zh-CN"/>
        </w:rPr>
        <w:t>管理体系相关</w:t>
      </w:r>
      <w:r>
        <w:rPr>
          <w:rFonts w:hint="eastAsia" w:ascii="宋体" w:hAnsi="宋体" w:cs="宋体"/>
          <w:sz w:val="24"/>
          <w:highlight w:val="none"/>
        </w:rPr>
        <w:t>问题及与认证范围内相关严重违法违规行为，经CQM的审定结论为不予认证注册；</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7"/>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除以上情况外，CQM的审定结论为不予认证注册。</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.2.2 拒绝认证注册的程序</w:t>
      </w:r>
    </w:p>
    <w:p>
      <w:pPr>
        <w:pStyle w:val="11"/>
        <w:numPr>
          <w:ilvl w:val="1"/>
          <w:numId w:val="6"/>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iCs/>
          <w:sz w:val="24"/>
          <w:highlight w:val="none"/>
          <w:lang w:eastAsia="zh-CN"/>
        </w:rPr>
        <w:t>符合</w:t>
      </w:r>
      <w:r>
        <w:rPr>
          <w:rFonts w:hint="eastAsia" w:ascii="宋体" w:hAnsi="宋体"/>
          <w:iCs/>
          <w:sz w:val="24"/>
          <w:highlight w:val="none"/>
          <w:lang w:val="en-US" w:eastAsia="zh-CN"/>
        </w:rPr>
        <w:t>10</w:t>
      </w:r>
      <w:r>
        <w:rPr>
          <w:rFonts w:hint="eastAsia" w:ascii="宋体" w:hAnsi="宋体"/>
          <w:iCs/>
          <w:sz w:val="24"/>
          <w:highlight w:val="none"/>
        </w:rPr>
        <w:t>.2.1条件</w:t>
      </w:r>
      <w:r>
        <w:rPr>
          <w:rFonts w:hint="eastAsia" w:ascii="宋体" w:hAnsi="宋体"/>
          <w:iCs/>
          <w:sz w:val="24"/>
          <w:highlight w:val="none"/>
          <w:lang w:eastAsia="zh-CN"/>
        </w:rPr>
        <w:t>之一</w:t>
      </w:r>
      <w:r>
        <w:rPr>
          <w:rFonts w:hint="eastAsia" w:ascii="宋体" w:hAnsi="宋体"/>
          <w:iCs/>
          <w:sz w:val="24"/>
          <w:highlight w:val="none"/>
        </w:rPr>
        <w:t>，</w:t>
      </w:r>
      <w:r>
        <w:rPr>
          <w:rFonts w:hint="eastAsia" w:ascii="宋体" w:hAnsi="宋体"/>
          <w:iCs/>
          <w:sz w:val="24"/>
          <w:highlight w:val="none"/>
          <w:lang w:eastAsia="zh-CN"/>
        </w:rPr>
        <w:t>经CQM</w:t>
      </w:r>
      <w:r>
        <w:rPr>
          <w:rFonts w:hint="eastAsia" w:ascii="宋体" w:hAnsi="宋体"/>
          <w:sz w:val="24"/>
          <w:highlight w:val="none"/>
        </w:rPr>
        <w:t>评审</w:t>
      </w:r>
      <w:r>
        <w:rPr>
          <w:rFonts w:hint="eastAsia" w:ascii="宋体" w:hAnsi="宋体"/>
          <w:sz w:val="24"/>
          <w:highlight w:val="none"/>
          <w:lang w:eastAsia="zh-CN"/>
        </w:rPr>
        <w:t>为</w:t>
      </w:r>
      <w:r>
        <w:rPr>
          <w:rFonts w:hint="eastAsia" w:ascii="宋体" w:hAnsi="宋体"/>
          <w:sz w:val="24"/>
          <w:highlight w:val="none"/>
        </w:rPr>
        <w:t>不予受理</w:t>
      </w:r>
      <w:r>
        <w:rPr>
          <w:rFonts w:hint="eastAsia" w:ascii="宋体" w:hAnsi="宋体"/>
          <w:sz w:val="24"/>
          <w:highlight w:val="none"/>
          <w:lang w:eastAsia="zh-CN"/>
        </w:rPr>
        <w:t>认证或认证</w:t>
      </w:r>
      <w:r>
        <w:rPr>
          <w:rFonts w:hint="eastAsia" w:ascii="宋体" w:hAnsi="宋体"/>
          <w:sz w:val="24"/>
          <w:highlight w:val="none"/>
        </w:rPr>
        <w:t>客户的管理体系不满足批准认证资格条件</w:t>
      </w:r>
      <w:r>
        <w:rPr>
          <w:rFonts w:hint="eastAsia" w:ascii="宋体" w:hAnsi="宋体"/>
          <w:color w:val="000000"/>
          <w:sz w:val="24"/>
          <w:highlight w:val="none"/>
        </w:rPr>
        <w:t>；</w:t>
      </w:r>
      <w:r>
        <w:rPr>
          <w:rFonts w:hint="eastAsia" w:ascii="宋体" w:hAnsi="宋体"/>
          <w:bCs/>
          <w:iCs/>
          <w:sz w:val="24"/>
          <w:highlight w:val="none"/>
        </w:rPr>
        <w:t xml:space="preserve"> </w:t>
      </w:r>
    </w:p>
    <w:p>
      <w:pPr>
        <w:pStyle w:val="11"/>
        <w:numPr>
          <w:ilvl w:val="1"/>
          <w:numId w:val="6"/>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pStyle w:val="3"/>
        <w:spacing w:before="0" w:after="0" w:line="360" w:lineRule="auto"/>
        <w:rPr>
          <w:rFonts w:hint="eastAsia" w:ascii="宋体" w:hAnsi="宋体" w:eastAsia="宋体"/>
          <w:sz w:val="24"/>
          <w:highlight w:val="none"/>
        </w:rPr>
      </w:pPr>
      <w:bookmarkStart w:id="92" w:name="_Toc85256254"/>
      <w:bookmarkStart w:id="93" w:name="_Toc85103629"/>
      <w:bookmarkStart w:id="94" w:name="_Toc85105518"/>
      <w:bookmarkStart w:id="95" w:name="_Toc444776338"/>
      <w:bookmarkStart w:id="96" w:name="_Toc1414"/>
      <w:bookmarkStart w:id="97" w:name="_Toc185325632"/>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3</w:t>
      </w:r>
      <w:r>
        <w:rPr>
          <w:rFonts w:hint="eastAsia" w:ascii="宋体" w:hAnsi="宋体" w:eastAsia="宋体"/>
          <w:sz w:val="24"/>
          <w:highlight w:val="none"/>
        </w:rPr>
        <w:t xml:space="preserve"> 保持认证资格的条件</w:t>
      </w:r>
      <w:bookmarkEnd w:id="92"/>
      <w:bookmarkEnd w:id="93"/>
      <w:bookmarkEnd w:id="94"/>
      <w:r>
        <w:rPr>
          <w:rFonts w:hint="eastAsia" w:ascii="宋体" w:hAnsi="宋体" w:eastAsia="宋体"/>
          <w:sz w:val="24"/>
          <w:highlight w:val="none"/>
        </w:rPr>
        <w:t>和程序</w:t>
      </w:r>
      <w:bookmarkEnd w:id="95"/>
      <w:bookmarkEnd w:id="96"/>
      <w:bookmarkEnd w:id="97"/>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.3.1 保持认证资格的条件</w:t>
      </w:r>
    </w:p>
    <w:p>
      <w:pPr>
        <w:numPr>
          <w:ilvl w:val="0"/>
          <w:numId w:val="8"/>
        </w:numPr>
        <w:tabs>
          <w:tab w:val="left" w:pos="720"/>
        </w:tabs>
        <w:spacing w:line="360" w:lineRule="auto"/>
        <w:ind w:left="709" w:hanging="349"/>
        <w:rPr>
          <w:rFonts w:hint="eastAsia"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获证客户持续遵守认证有关的规定，包括变更的规定；</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获证客户在认证范围内的组织单元、产品、服务及其过程和活动持续满足适用的最新法律法规的要求，如发生不满足时及时采取有效的措施；</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获证客户于获证期内，认证范围内涉及的产品/服务/活动未发生重大事故和国家检查不合格；</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.3.2 保持认证资格的程序</w:t>
      </w:r>
    </w:p>
    <w:p>
      <w:pPr>
        <w:numPr>
          <w:ilvl w:val="0"/>
          <w:numId w:val="9"/>
        </w:numPr>
        <w:tabs>
          <w:tab w:val="left" w:pos="720"/>
          <w:tab w:val="clear" w:pos="1050"/>
        </w:tabs>
        <w:spacing w:line="360" w:lineRule="auto"/>
        <w:ind w:left="709" w:hanging="349"/>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pStyle w:val="3"/>
        <w:spacing w:before="0" w:after="0" w:line="360" w:lineRule="auto"/>
        <w:rPr>
          <w:rFonts w:hint="eastAsia" w:ascii="宋体" w:hAnsi="宋体" w:eastAsia="宋体"/>
          <w:sz w:val="24"/>
          <w:highlight w:val="none"/>
          <w:lang w:eastAsia="zh-CN"/>
        </w:rPr>
      </w:pPr>
      <w:bookmarkStart w:id="98" w:name="_Toc85105519"/>
      <w:bookmarkStart w:id="99" w:name="_Toc85103630"/>
      <w:bookmarkStart w:id="100" w:name="_Toc85256255"/>
      <w:bookmarkStart w:id="101" w:name="_Toc444776339"/>
      <w:bookmarkStart w:id="102" w:name="_Toc26243"/>
      <w:bookmarkStart w:id="103" w:name="_Toc185325633"/>
      <w:r>
        <w:rPr>
          <w:rFonts w:hint="eastAsia" w:ascii="宋体" w:hAnsi="宋体" w:eastAsia="宋体"/>
          <w:sz w:val="24"/>
          <w:highlight w:val="none"/>
          <w:lang w:val="en-US" w:eastAsia="zh-CN"/>
        </w:rPr>
        <w:t>10</w:t>
      </w:r>
      <w:r>
        <w:rPr>
          <w:rFonts w:ascii="宋体" w:hAnsi="宋体" w:eastAsia="宋体"/>
          <w:sz w:val="24"/>
          <w:highlight w:val="none"/>
        </w:rPr>
        <w:t>.</w:t>
      </w:r>
      <w:r>
        <w:rPr>
          <w:rFonts w:hint="eastAsia" w:ascii="宋体" w:hAnsi="宋体" w:eastAsia="宋体"/>
          <w:sz w:val="24"/>
          <w:highlight w:val="none"/>
          <w:lang w:eastAsia="zh-CN"/>
        </w:rPr>
        <w:t>4</w:t>
      </w:r>
      <w:r>
        <w:rPr>
          <w:rFonts w:hint="eastAsia" w:ascii="宋体" w:hAnsi="宋体" w:eastAsia="宋体"/>
          <w:sz w:val="24"/>
          <w:highlight w:val="none"/>
        </w:rPr>
        <w:t xml:space="preserve"> 扩大认证范围的条件</w:t>
      </w:r>
      <w:bookmarkEnd w:id="98"/>
      <w:bookmarkEnd w:id="99"/>
      <w:bookmarkEnd w:id="100"/>
      <w:r>
        <w:rPr>
          <w:rFonts w:hint="eastAsia" w:ascii="宋体" w:hAnsi="宋体" w:eastAsia="宋体"/>
          <w:sz w:val="24"/>
          <w:highlight w:val="none"/>
        </w:rPr>
        <w:t>和程序</w:t>
      </w:r>
      <w:bookmarkEnd w:id="101"/>
      <w:bookmarkEnd w:id="102"/>
      <w:bookmarkEnd w:id="103"/>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.4.1 扩大认证范围的分类</w:t>
      </w:r>
    </w:p>
    <w:p>
      <w:pPr>
        <w:numPr>
          <w:ilvl w:val="0"/>
          <w:numId w:val="10"/>
        </w:numPr>
        <w:spacing w:line="400" w:lineRule="exact"/>
        <w:rPr>
          <w:rFonts w:ascii="宋体" w:hAnsi="宋体"/>
          <w:sz w:val="24"/>
          <w:highlight w:val="none"/>
        </w:rPr>
      </w:pPr>
      <w:r>
        <w:rPr>
          <w:rFonts w:hint="eastAsia" w:ascii="宋体" w:hAnsi="宋体"/>
          <w:sz w:val="24"/>
          <w:highlight w:val="none"/>
        </w:rPr>
        <w:t>获证客户名称增加、固定分场所增加、区域或生产单元扩大；</w:t>
      </w:r>
    </w:p>
    <w:p>
      <w:pPr>
        <w:numPr>
          <w:ilvl w:val="0"/>
          <w:numId w:val="10"/>
        </w:numPr>
        <w:spacing w:line="400" w:lineRule="exact"/>
        <w:rPr>
          <w:rFonts w:ascii="宋体" w:hAnsi="宋体"/>
          <w:sz w:val="24"/>
          <w:highlight w:val="none"/>
        </w:rPr>
      </w:pPr>
      <w:r>
        <w:rPr>
          <w:rFonts w:hint="eastAsia" w:ascii="宋体" w:hAnsi="宋体"/>
          <w:sz w:val="24"/>
          <w:highlight w:val="none"/>
        </w:rPr>
        <w:t>产品或服务类别增加；</w:t>
      </w:r>
    </w:p>
    <w:p>
      <w:pPr>
        <w:numPr>
          <w:ilvl w:val="0"/>
          <w:numId w:val="10"/>
        </w:numPr>
        <w:spacing w:line="400" w:lineRule="exact"/>
        <w:rPr>
          <w:rFonts w:hint="eastAsia"/>
          <w:highlight w:val="none"/>
        </w:rPr>
      </w:pPr>
      <w:r>
        <w:rPr>
          <w:rFonts w:hint="eastAsia" w:ascii="宋体" w:hAnsi="宋体"/>
          <w:sz w:val="24"/>
          <w:highlight w:val="none"/>
        </w:rPr>
        <w:t>产品形成主要过程增加，如产品设计、产品安装。</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.4.2 扩大认证范围的条件</w:t>
      </w:r>
    </w:p>
    <w:p>
      <w:pPr>
        <w:numPr>
          <w:ilvl w:val="0"/>
          <w:numId w:val="11"/>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1"/>
        </w:numPr>
        <w:spacing w:line="400" w:lineRule="exact"/>
        <w:rPr>
          <w:rFonts w:hint="eastAsia"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1"/>
        </w:numPr>
        <w:spacing w:line="400" w:lineRule="exact"/>
        <w:rPr>
          <w:rFonts w:hint="eastAsia" w:ascii="宋体" w:hAnsi="宋体"/>
          <w:sz w:val="24"/>
          <w:highlight w:val="none"/>
        </w:rPr>
      </w:pPr>
      <w:r>
        <w:rPr>
          <w:rFonts w:hint="eastAsia" w:ascii="宋体" w:hAnsi="宋体"/>
          <w:sz w:val="24"/>
          <w:highlight w:val="none"/>
        </w:rPr>
        <w:t>国家或地方或行业有要求时，获证客户在申请扩大认证范围内的组织单元、产品、服务及其过程和活动，已满足适用的法律法规的要求；</w:t>
      </w:r>
    </w:p>
    <w:p>
      <w:pPr>
        <w:numPr>
          <w:ilvl w:val="0"/>
          <w:numId w:val="11"/>
        </w:numPr>
        <w:spacing w:line="400" w:lineRule="exact"/>
        <w:rPr>
          <w:rFonts w:hint="eastAsia"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1"/>
        </w:numPr>
        <w:spacing w:line="360" w:lineRule="auto"/>
        <w:rPr>
          <w:rFonts w:hint="eastAsia"/>
          <w:iCs/>
          <w:sz w:val="24"/>
          <w:highlight w:val="none"/>
        </w:rPr>
      </w:pPr>
      <w:r>
        <w:rPr>
          <w:rFonts w:hint="eastAsia" w:ascii="宋体" w:hAnsi="宋体"/>
          <w:sz w:val="24"/>
          <w:highlight w:val="none"/>
        </w:rPr>
        <w:t>获证客户按照认证规定缴纳补充认证费用。</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.4.3 扩大认证范围的程序</w:t>
      </w:r>
    </w:p>
    <w:p>
      <w:pPr>
        <w:numPr>
          <w:ilvl w:val="0"/>
          <w:numId w:val="12"/>
        </w:numPr>
        <w:spacing w:line="400" w:lineRule="exact"/>
        <w:rPr>
          <w:rFonts w:hint="eastAsia"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2"/>
        </w:numPr>
        <w:spacing w:line="400" w:lineRule="exact"/>
        <w:rPr>
          <w:rFonts w:hint="eastAsia"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2"/>
        </w:numPr>
        <w:spacing w:line="400" w:lineRule="exact"/>
        <w:rPr>
          <w:rFonts w:hint="eastAsia"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2"/>
        </w:numPr>
        <w:spacing w:line="400" w:lineRule="exact"/>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2"/>
        </w:numPr>
        <w:spacing w:line="400" w:lineRule="exact"/>
        <w:rPr>
          <w:rFonts w:hint="eastAsia" w:ascii="宋体" w:hAnsi="宋体"/>
          <w:sz w:val="24"/>
          <w:highlight w:val="none"/>
        </w:rPr>
      </w:pPr>
      <w:r>
        <w:rPr>
          <w:rFonts w:hint="eastAsia" w:ascii="宋体" w:hAnsi="宋体"/>
          <w:sz w:val="24"/>
          <w:highlight w:val="none"/>
        </w:rPr>
        <w:t>CQM向获证客户送交新认证证书，同时收回原证书。</w:t>
      </w:r>
    </w:p>
    <w:p>
      <w:pPr>
        <w:pStyle w:val="3"/>
        <w:spacing w:before="0" w:after="0" w:line="360" w:lineRule="auto"/>
        <w:rPr>
          <w:rFonts w:hint="eastAsia" w:ascii="宋体" w:hAnsi="宋体" w:eastAsia="宋体"/>
          <w:sz w:val="24"/>
          <w:highlight w:val="none"/>
          <w:lang w:eastAsia="zh-CN"/>
        </w:rPr>
      </w:pPr>
      <w:bookmarkStart w:id="104" w:name="_Toc85103631"/>
      <w:bookmarkStart w:id="105" w:name="_Toc85105520"/>
      <w:bookmarkStart w:id="106" w:name="_Toc85256256"/>
      <w:bookmarkStart w:id="107" w:name="_Toc25371"/>
      <w:bookmarkStart w:id="108" w:name="_Toc185325634"/>
      <w:bookmarkStart w:id="109" w:name="_Toc444776340"/>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5</w:t>
      </w:r>
      <w:r>
        <w:rPr>
          <w:rFonts w:hint="eastAsia" w:ascii="宋体" w:hAnsi="宋体" w:eastAsia="宋体"/>
          <w:sz w:val="24"/>
          <w:highlight w:val="none"/>
        </w:rPr>
        <w:t xml:space="preserve"> 缩小认证范围的条件</w:t>
      </w:r>
      <w:bookmarkEnd w:id="104"/>
      <w:bookmarkEnd w:id="105"/>
      <w:bookmarkEnd w:id="106"/>
      <w:r>
        <w:rPr>
          <w:rFonts w:hint="eastAsia" w:ascii="宋体" w:hAnsi="宋体" w:eastAsia="宋体"/>
          <w:sz w:val="24"/>
          <w:highlight w:val="none"/>
        </w:rPr>
        <w:t>和程序</w:t>
      </w:r>
      <w:bookmarkEnd w:id="107"/>
      <w:bookmarkEnd w:id="108"/>
      <w:bookmarkEnd w:id="109"/>
    </w:p>
    <w:p>
      <w:pPr>
        <w:spacing w:line="360" w:lineRule="auto"/>
        <w:rPr>
          <w:rFonts w:hint="eastAsia"/>
          <w:highlight w:val="none"/>
        </w:rPr>
      </w:pPr>
      <w:r>
        <w:rPr>
          <w:rFonts w:hint="eastAsia" w:ascii="宋体" w:hAnsi="宋体"/>
          <w:bCs/>
          <w:sz w:val="24"/>
          <w:highlight w:val="none"/>
          <w:lang w:val="en-US" w:eastAsia="zh-CN"/>
        </w:rPr>
        <w:t>10</w:t>
      </w:r>
      <w:r>
        <w:rPr>
          <w:rFonts w:hint="eastAsia" w:ascii="宋体" w:hAnsi="宋体"/>
          <w:bCs/>
          <w:sz w:val="24"/>
          <w:highlight w:val="none"/>
        </w:rPr>
        <w:t>.5.1 缩小认证范围的分类</w:t>
      </w:r>
    </w:p>
    <w:p>
      <w:pPr>
        <w:numPr>
          <w:ilvl w:val="0"/>
          <w:numId w:val="13"/>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获证客户固定分场所、区域或生产单元缩小；</w:t>
      </w:r>
    </w:p>
    <w:p>
      <w:pPr>
        <w:numPr>
          <w:ilvl w:val="0"/>
          <w:numId w:val="13"/>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产品类别减少；</w:t>
      </w:r>
    </w:p>
    <w:p>
      <w:pPr>
        <w:numPr>
          <w:ilvl w:val="0"/>
          <w:numId w:val="13"/>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产品形成主要过程减少，如产品设计、产品安装；</w:t>
      </w:r>
    </w:p>
    <w:p>
      <w:pPr>
        <w:numPr>
          <w:ilvl w:val="0"/>
          <w:numId w:val="13"/>
        </w:numPr>
        <w:tabs>
          <w:tab w:val="left" w:pos="720"/>
          <w:tab w:val="clear" w:pos="1078"/>
        </w:tabs>
        <w:spacing w:line="360" w:lineRule="auto"/>
        <w:ind w:left="720"/>
        <w:rPr>
          <w:rFonts w:hint="eastAsia"/>
          <w:highlight w:val="none"/>
        </w:rPr>
      </w:pPr>
      <w:r>
        <w:rPr>
          <w:rFonts w:hint="eastAsia" w:ascii="宋体" w:hAnsi="宋体"/>
          <w:bCs/>
          <w:sz w:val="24"/>
          <w:highlight w:val="none"/>
        </w:rPr>
        <w:t>多个组织认证减少组织数量。</w:t>
      </w:r>
    </w:p>
    <w:p>
      <w:pPr>
        <w:spacing w:line="360" w:lineRule="auto"/>
        <w:rPr>
          <w:rFonts w:hint="eastAsia"/>
          <w:highlight w:val="none"/>
        </w:rPr>
      </w:pPr>
      <w:r>
        <w:rPr>
          <w:rFonts w:hint="eastAsia" w:ascii="宋体" w:hAnsi="宋体"/>
          <w:bCs/>
          <w:sz w:val="24"/>
          <w:highlight w:val="none"/>
          <w:lang w:val="en-US" w:eastAsia="zh-CN"/>
        </w:rPr>
        <w:t>10</w:t>
      </w:r>
      <w:r>
        <w:rPr>
          <w:rFonts w:hint="eastAsia" w:ascii="宋体" w:hAnsi="宋体"/>
          <w:bCs/>
          <w:sz w:val="24"/>
          <w:highlight w:val="none"/>
        </w:rPr>
        <w:t>.5.2 缩小认证范围的条件</w:t>
      </w:r>
    </w:p>
    <w:p>
      <w:pPr>
        <w:numPr>
          <w:ilvl w:val="0"/>
          <w:numId w:val="14"/>
        </w:numPr>
        <w:tabs>
          <w:tab w:val="left" w:pos="709"/>
          <w:tab w:val="clear" w:pos="1078"/>
        </w:tabs>
        <w:spacing w:line="360" w:lineRule="auto"/>
        <w:ind w:left="720"/>
        <w:jc w:val="left"/>
        <w:rPr>
          <w:rFonts w:hint="eastAsia"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4"/>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获证客户不愿再继续保持认证范围内的部分产品、服务、区域等认证资格；</w:t>
      </w:r>
    </w:p>
    <w:p>
      <w:pPr>
        <w:numPr>
          <w:ilvl w:val="0"/>
          <w:numId w:val="14"/>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.5.3 缩小认证范围的程序</w:t>
      </w:r>
    </w:p>
    <w:p>
      <w:pPr>
        <w:numPr>
          <w:ilvl w:val="2"/>
          <w:numId w:val="6"/>
        </w:numPr>
        <w:spacing w:line="360" w:lineRule="auto"/>
        <w:rPr>
          <w:rFonts w:hint="eastAsia"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6"/>
        </w:numPr>
        <w:spacing w:line="360" w:lineRule="auto"/>
        <w:rPr>
          <w:rFonts w:hint="eastAsia" w:ascii="宋体" w:hAnsi="宋体"/>
          <w:sz w:val="24"/>
          <w:highlight w:val="none"/>
        </w:rPr>
      </w:pPr>
      <w:r>
        <w:rPr>
          <w:rFonts w:hint="eastAsia" w:ascii="宋体" w:hAnsi="宋体"/>
          <w:sz w:val="24"/>
          <w:highlight w:val="none"/>
        </w:rPr>
        <w:t>需要时，获证客户应与CQM修订认证合同；</w:t>
      </w:r>
    </w:p>
    <w:p>
      <w:pPr>
        <w:numPr>
          <w:ilvl w:val="2"/>
          <w:numId w:val="6"/>
        </w:numPr>
        <w:spacing w:line="360" w:lineRule="auto"/>
        <w:rPr>
          <w:rFonts w:hint="eastAsia"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pStyle w:val="3"/>
        <w:spacing w:before="0" w:after="0" w:line="360" w:lineRule="auto"/>
        <w:rPr>
          <w:rFonts w:hint="eastAsia" w:ascii="宋体" w:hAnsi="宋体" w:eastAsia="宋体"/>
          <w:sz w:val="24"/>
          <w:highlight w:val="none"/>
        </w:rPr>
      </w:pPr>
      <w:bookmarkStart w:id="110" w:name="_Toc444776341"/>
      <w:bookmarkStart w:id="111" w:name="_Toc1371"/>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6</w:t>
      </w:r>
      <w:r>
        <w:rPr>
          <w:rFonts w:hint="eastAsia" w:ascii="宋体" w:hAnsi="宋体" w:eastAsia="宋体"/>
          <w:sz w:val="24"/>
          <w:highlight w:val="none"/>
        </w:rPr>
        <w:t xml:space="preserve"> </w:t>
      </w:r>
      <w:r>
        <w:rPr>
          <w:rFonts w:hint="eastAsia" w:ascii="宋体" w:hAnsi="宋体" w:eastAsia="宋体"/>
          <w:sz w:val="24"/>
          <w:highlight w:val="none"/>
          <w:lang w:eastAsia="zh-CN"/>
        </w:rPr>
        <w:t>变更认证信息的条件和</w:t>
      </w:r>
      <w:r>
        <w:rPr>
          <w:rFonts w:hint="eastAsia" w:ascii="宋体" w:hAnsi="宋体" w:eastAsia="宋体"/>
          <w:sz w:val="24"/>
          <w:highlight w:val="none"/>
        </w:rPr>
        <w:t>程序</w:t>
      </w:r>
      <w:bookmarkEnd w:id="110"/>
      <w:bookmarkEnd w:id="111"/>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hint="eastAsia" w:ascii="宋体" w:hAnsi="宋体"/>
          <w:sz w:val="24"/>
          <w:highlight w:val="none"/>
        </w:rPr>
      </w:pPr>
      <w:r>
        <w:rPr>
          <w:rFonts w:hint="eastAsia" w:ascii="宋体" w:hAnsi="宋体"/>
          <w:sz w:val="24"/>
          <w:highlight w:val="none"/>
        </w:rPr>
        <w:t>在认证证书有效内，获证客户因信息发生变更，导致与认证证书信息不一致时，应予以更新。</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.6.1.2变更认证信息的分类：</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获证客户名称、住所变更；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认证地址变更；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地名变更；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企业人数变更，证书编号变更；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证书范围中的产品、服务、活动的变更。</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.6.2变更认证信息的程序</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6"/>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6"/>
        </w:numPr>
        <w:spacing w:line="360" w:lineRule="auto"/>
        <w:ind w:left="851" w:hanging="425"/>
        <w:rPr>
          <w:rFonts w:hint="eastAsia"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6"/>
        </w:numPr>
        <w:spacing w:line="360" w:lineRule="auto"/>
        <w:ind w:left="851" w:hanging="425"/>
        <w:rPr>
          <w:rFonts w:hint="eastAsia"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6"/>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.6.2.1.2认证地址变更需要提交的资料</w:t>
      </w:r>
    </w:p>
    <w:p>
      <w:pPr>
        <w:numPr>
          <w:ilvl w:val="0"/>
          <w:numId w:val="17"/>
        </w:numPr>
        <w:spacing w:line="360" w:lineRule="auto"/>
        <w:ind w:left="851" w:hanging="425"/>
        <w:rPr>
          <w:rFonts w:hint="eastAsia" w:ascii="宋体" w:hAnsi="宋体"/>
          <w:sz w:val="24"/>
          <w:highlight w:val="none"/>
        </w:rPr>
      </w:pPr>
      <w:r>
        <w:rPr>
          <w:rFonts w:hint="eastAsia" w:ascii="宋体" w:hAnsi="宋体"/>
          <w:sz w:val="24"/>
          <w:highlight w:val="none"/>
        </w:rPr>
        <w:t>获证客户的书面变更申请；</w:t>
      </w:r>
    </w:p>
    <w:p>
      <w:pPr>
        <w:numPr>
          <w:ilvl w:val="0"/>
          <w:numId w:val="17"/>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有行政许可、资质等要求的获证客户，还应提供按新地址变更后的法规要求的有关文件（必要时，包括环评、环保验收，安评、安全验收等证据材料）。</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.6.2.1.3 地名变更需要提交的资料</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获证客户的书面变更申请；</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当地政府的相关证明；</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hint="eastAsia"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.6.2.1.5 证书范围中的产品、服务、活动的变更需要提交的资料</w:t>
      </w:r>
    </w:p>
    <w:p>
      <w:pPr>
        <w:numPr>
          <w:ilvl w:val="1"/>
          <w:numId w:val="19"/>
        </w:numPr>
        <w:spacing w:line="360" w:lineRule="auto"/>
        <w:ind w:left="709" w:hanging="283"/>
        <w:rPr>
          <w:rFonts w:hint="eastAsia"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0"/>
          <w:numId w:val="19"/>
        </w:numPr>
        <w:tabs>
          <w:tab w:val="left" w:pos="720"/>
        </w:tabs>
        <w:spacing w:line="360" w:lineRule="auto"/>
        <w:rPr>
          <w:rFonts w:hint="eastAsia" w:ascii="宋体" w:hAnsi="宋体" w:cs="宋体"/>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.6.2.2 认证信息变更的办理流程</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获证客户根据</w:t>
      </w:r>
      <w:r>
        <w:rPr>
          <w:rFonts w:hint="eastAsia" w:ascii="宋体" w:hAnsi="宋体" w:cs="宋体"/>
          <w:sz w:val="24"/>
          <w:highlight w:val="none"/>
          <w:lang w:val="en-US" w:eastAsia="zh-CN"/>
        </w:rPr>
        <w:t>10</w:t>
      </w:r>
      <w:r>
        <w:rPr>
          <w:rFonts w:hint="eastAsia" w:ascii="宋体" w:hAnsi="宋体" w:cs="宋体"/>
          <w:sz w:val="24"/>
          <w:highlight w:val="none"/>
        </w:rPr>
        <w:t>.6.1要求向CQM正式提交满足</w:t>
      </w:r>
      <w:r>
        <w:rPr>
          <w:rFonts w:hint="eastAsia" w:ascii="宋体" w:hAnsi="宋体" w:cs="宋体"/>
          <w:sz w:val="24"/>
          <w:highlight w:val="none"/>
          <w:lang w:val="en-US" w:eastAsia="zh-CN"/>
        </w:rPr>
        <w:t>10</w:t>
      </w:r>
      <w:r>
        <w:rPr>
          <w:rFonts w:hint="eastAsia" w:ascii="宋体" w:hAnsi="宋体" w:cs="宋体"/>
          <w:sz w:val="24"/>
          <w:highlight w:val="none"/>
        </w:rPr>
        <w:t>.6.2.1要求的申请和相关文件资料；</w:t>
      </w:r>
    </w:p>
    <w:p>
      <w:pPr>
        <w:numPr>
          <w:ilvl w:val="0"/>
          <w:numId w:val="20"/>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需要时，获证客户应接受CQM的审核；</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CQM收回原认证证书，换发认证证书或附件，认证证书的有效期保持不变。</w:t>
      </w:r>
    </w:p>
    <w:p>
      <w:pPr>
        <w:pStyle w:val="3"/>
        <w:spacing w:before="0" w:after="0" w:line="360" w:lineRule="auto"/>
        <w:rPr>
          <w:rFonts w:hint="eastAsia" w:ascii="宋体" w:hAnsi="宋体" w:eastAsia="宋体"/>
          <w:sz w:val="24"/>
          <w:highlight w:val="none"/>
        </w:rPr>
      </w:pPr>
      <w:bookmarkStart w:id="112" w:name="_Toc85256257"/>
      <w:bookmarkStart w:id="113" w:name="_Toc85105521"/>
      <w:bookmarkStart w:id="114" w:name="_Toc85103632"/>
      <w:bookmarkStart w:id="115" w:name="_Toc12920"/>
      <w:bookmarkStart w:id="116" w:name="_Toc444776342"/>
      <w:bookmarkStart w:id="117" w:name="_Toc185325635"/>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7</w:t>
      </w:r>
      <w:r>
        <w:rPr>
          <w:rFonts w:hint="eastAsia" w:ascii="宋体" w:hAnsi="宋体" w:eastAsia="宋体"/>
          <w:sz w:val="24"/>
          <w:highlight w:val="none"/>
        </w:rPr>
        <w:t xml:space="preserve"> 暂停认证资格的条件</w:t>
      </w:r>
      <w:bookmarkEnd w:id="112"/>
      <w:bookmarkEnd w:id="113"/>
      <w:bookmarkEnd w:id="114"/>
      <w:r>
        <w:rPr>
          <w:rFonts w:hint="eastAsia" w:ascii="宋体" w:hAnsi="宋体" w:eastAsia="宋体"/>
          <w:sz w:val="24"/>
          <w:highlight w:val="none"/>
        </w:rPr>
        <w:t>和程序</w:t>
      </w:r>
      <w:bookmarkEnd w:id="115"/>
      <w:bookmarkEnd w:id="116"/>
      <w:bookmarkEnd w:id="117"/>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hint="eastAsia"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rPr>
        <w:t>--获证客户管理及服务体系持续或严重不满足认证要求，包括对体系运行的有效性要求。</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a)</w:t>
      </w:r>
      <w:r>
        <w:rPr>
          <w:rFonts w:ascii="宋体" w:hAnsi="宋体"/>
          <w:bCs/>
          <w:sz w:val="24"/>
          <w:highlight w:val="none"/>
        </w:rPr>
        <w:t>获证客户的管理体系发生重大变更，不能持续符合认证标准/规范性文件要求；</w:t>
      </w:r>
    </w:p>
    <w:p>
      <w:pPr>
        <w:spacing w:line="360" w:lineRule="auto"/>
        <w:ind w:left="359" w:leftChars="171"/>
        <w:rPr>
          <w:rFonts w:hint="eastAsia" w:ascii="宋体" w:hAnsi="宋体"/>
          <w:bCs/>
          <w:sz w:val="24"/>
          <w:highlight w:val="none"/>
        </w:rPr>
      </w:pPr>
      <w:r>
        <w:rPr>
          <w:rFonts w:hint="eastAsia" w:ascii="宋体" w:hAnsi="宋体"/>
          <w:bCs/>
          <w:sz w:val="24"/>
          <w:highlight w:val="none"/>
        </w:rPr>
        <w:t>b)获证客户</w:t>
      </w:r>
      <w:r>
        <w:rPr>
          <w:rFonts w:ascii="宋体" w:hAnsi="宋体"/>
          <w:bCs/>
          <w:sz w:val="24"/>
          <w:highlight w:val="none"/>
        </w:rPr>
        <w:t>监督审核期间发生严重影响体系运行的情况；</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c)</w:t>
      </w:r>
      <w:r>
        <w:rPr>
          <w:rFonts w:ascii="宋体" w:hAnsi="宋体"/>
          <w:bCs/>
          <w:sz w:val="24"/>
          <w:highlight w:val="none"/>
        </w:rPr>
        <w:t>获证客户在认证范围内的组织单元、产品、服务及其过程和活动不能满足适用的最新法律法规和标准的要求，并未采取措施或措施无效；</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d)</w:t>
      </w:r>
      <w:r>
        <w:rPr>
          <w:rFonts w:ascii="宋体" w:hAnsi="宋体"/>
          <w:bCs/>
          <w:sz w:val="24"/>
          <w:highlight w:val="none"/>
        </w:rPr>
        <w:t>获证客户未按照认证要求的变更做出相应调整，或调整不满足变更要求</w:t>
      </w:r>
      <w:r>
        <w:rPr>
          <w:rFonts w:hint="eastAsia" w:ascii="宋体" w:hAnsi="宋体"/>
          <w:bCs/>
          <w:sz w:val="24"/>
          <w:highlight w:val="none"/>
        </w:rPr>
        <w:t>。</w:t>
      </w:r>
    </w:p>
    <w:p>
      <w:pPr>
        <w:pStyle w:val="11"/>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获证客户不承担、履行认证合同约定的责任和义务。</w:t>
      </w:r>
    </w:p>
    <w:p>
      <w:pPr>
        <w:pStyle w:val="11"/>
        <w:spacing w:line="360" w:lineRule="auto"/>
        <w:rPr>
          <w:rFonts w:hint="eastAsia" w:ascii="宋体" w:hAnsi="宋体"/>
          <w:bCs/>
          <w:iCs/>
          <w:sz w:val="24"/>
          <w:highlight w:val="none"/>
        </w:rPr>
      </w:pPr>
      <w:r>
        <w:rPr>
          <w:rFonts w:hint="eastAsia" w:ascii="宋体" w:hAnsi="宋体"/>
          <w:bCs/>
          <w:iCs/>
          <w:sz w:val="24"/>
          <w:highlight w:val="none"/>
        </w:rPr>
        <w:t>a)获证客户未能在规定的期限内接受监督或再认证审核；</w:t>
      </w:r>
    </w:p>
    <w:p>
      <w:pPr>
        <w:pStyle w:val="11"/>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获证客户未履行与CQM签署认证合同中规定的责任和义务，并对保持认证资格产生重大影响；</w:t>
      </w:r>
    </w:p>
    <w:p>
      <w:pPr>
        <w:pStyle w:val="11"/>
        <w:spacing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获证客户未按照认证合同规定缴纳认证费用</w:t>
      </w:r>
      <w:r>
        <w:rPr>
          <w:rFonts w:hint="eastAsia" w:ascii="宋体" w:hAnsi="宋体"/>
          <w:bCs/>
          <w:iCs/>
          <w:sz w:val="24"/>
          <w:highlight w:val="none"/>
        </w:rPr>
        <w:t>；</w:t>
      </w:r>
    </w:p>
    <w:p>
      <w:pPr>
        <w:pStyle w:val="11"/>
        <w:spacing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获证客户在获证期间发生误用认证证书和认证标志，并未能及时有效地采取纠正和纠正措施，以将产生的影响降至最少程度</w:t>
      </w:r>
      <w:r>
        <w:rPr>
          <w:rFonts w:hint="eastAsia" w:ascii="宋体" w:hAnsi="宋体"/>
          <w:bCs/>
          <w:iCs/>
          <w:sz w:val="24"/>
          <w:highlight w:val="none"/>
        </w:rPr>
        <w:t>。</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获证客户在证书有效期间受到相关执法监管部门处罚。</w:t>
      </w:r>
    </w:p>
    <w:p>
      <w:pPr>
        <w:pStyle w:val="11"/>
        <w:spacing w:line="360" w:lineRule="auto"/>
        <w:rPr>
          <w:rFonts w:hint="eastAsia" w:ascii="宋体" w:hAnsi="宋体"/>
          <w:bCs/>
          <w:iCs/>
          <w:sz w:val="24"/>
          <w:highlight w:val="none"/>
        </w:rPr>
      </w:pPr>
      <w:r>
        <w:rPr>
          <w:rFonts w:hint="eastAsia" w:ascii="宋体" w:hAnsi="宋体"/>
          <w:bCs/>
          <w:iCs/>
          <w:sz w:val="24"/>
          <w:highlight w:val="none"/>
        </w:rPr>
        <w:t>a) 获证客户未按要求对信息进行通报。</w:t>
      </w:r>
    </w:p>
    <w:p>
      <w:pPr>
        <w:pStyle w:val="11"/>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获证客户被地方认证监管部门发现体系运行存在问题。</w:t>
      </w:r>
    </w:p>
    <w:p>
      <w:pPr>
        <w:pStyle w:val="11"/>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获证客户于获证期间在认证范围内发生国家</w:t>
      </w:r>
      <w:r>
        <w:rPr>
          <w:rFonts w:hint="eastAsia" w:ascii="宋体" w:hAnsi="宋体"/>
          <w:bCs/>
          <w:iCs/>
          <w:sz w:val="24"/>
          <w:highlight w:val="none"/>
        </w:rPr>
        <w:t>抽</w:t>
      </w:r>
      <w:r>
        <w:rPr>
          <w:rFonts w:ascii="宋体" w:hAnsi="宋体"/>
          <w:bCs/>
          <w:iCs/>
          <w:sz w:val="24"/>
          <w:highlight w:val="none"/>
        </w:rPr>
        <w:t>检不合格，并未查明原因和采取补救措施</w:t>
      </w:r>
      <w:r>
        <w:rPr>
          <w:rFonts w:hint="eastAsia" w:ascii="宋体" w:hAnsi="宋体"/>
          <w:bCs/>
          <w:iCs/>
          <w:sz w:val="24"/>
          <w:highlight w:val="none"/>
        </w:rPr>
        <w:t>。</w:t>
      </w:r>
    </w:p>
    <w:p>
      <w:pPr>
        <w:pStyle w:val="11"/>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获证客户持有的行政许可证明、资质证书、强制性认证证书等过期失效，重新提交的申请已被受理但尚未换证。</w:t>
      </w:r>
    </w:p>
    <w:p>
      <w:pPr>
        <w:pStyle w:val="11"/>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获证客户的法律地位、资质不再符合国家的最新要求；</w:t>
      </w:r>
    </w:p>
    <w:p>
      <w:pPr>
        <w:pStyle w:val="11"/>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获证客户的认证范围已不在现行有效的法律地位文件和资质规定的范围内，但仍有可能在短期内符合规定要求</w:t>
      </w:r>
      <w:r>
        <w:rPr>
          <w:rFonts w:hint="eastAsia" w:ascii="宋体" w:hAnsi="宋体"/>
          <w:bCs/>
          <w:iCs/>
          <w:sz w:val="24"/>
          <w:highlight w:val="none"/>
        </w:rPr>
        <w:t>。</w:t>
      </w:r>
    </w:p>
    <w:p>
      <w:pPr>
        <w:pStyle w:val="11"/>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获证客户主动请求暂停。</w:t>
      </w:r>
    </w:p>
    <w:p>
      <w:pPr>
        <w:pStyle w:val="11"/>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获证客户发生了与</w:t>
      </w:r>
      <w:r>
        <w:rPr>
          <w:rFonts w:hint="eastAsia" w:ascii="宋体" w:hAnsi="宋体"/>
          <w:bCs/>
          <w:iCs/>
          <w:sz w:val="24"/>
          <w:highlight w:val="none"/>
          <w:lang w:val="en-US" w:eastAsia="zh-CN"/>
        </w:rPr>
        <w:t>人工智能</w:t>
      </w:r>
      <w:r>
        <w:rPr>
          <w:rFonts w:hint="eastAsia" w:ascii="宋体" w:hAnsi="宋体"/>
          <w:bCs/>
          <w:iCs/>
          <w:sz w:val="24"/>
          <w:highlight w:val="none"/>
        </w:rPr>
        <w:t>等有关的重大事故，反映出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获证客户于获证期间在认证范围内发生重大事故</w:t>
      </w:r>
      <w:r>
        <w:rPr>
          <w:rFonts w:hint="eastAsia" w:ascii="宋体" w:hAnsi="宋体"/>
          <w:bCs/>
          <w:iCs/>
          <w:sz w:val="24"/>
          <w:highlight w:val="none"/>
        </w:rPr>
        <w:t>被媒体曝光、或</w:t>
      </w:r>
      <w:r>
        <w:rPr>
          <w:rFonts w:ascii="宋体" w:hAnsi="宋体"/>
          <w:bCs/>
          <w:iCs/>
          <w:sz w:val="24"/>
          <w:highlight w:val="none"/>
        </w:rPr>
        <w:t>未查明原因和采取补救措施</w:t>
      </w:r>
      <w:r>
        <w:rPr>
          <w:rFonts w:hint="eastAsia" w:ascii="宋体" w:hAnsi="宋体"/>
          <w:bCs/>
          <w:iCs/>
          <w:sz w:val="24"/>
          <w:highlight w:val="none"/>
        </w:rPr>
        <w:t>；</w:t>
      </w:r>
    </w:p>
    <w:p>
      <w:pPr>
        <w:spacing w:line="360" w:lineRule="auto"/>
        <w:rPr>
          <w:rFonts w:hint="eastAsia" w:ascii="宋体" w:hAnsi="宋体"/>
          <w:bCs/>
          <w:iCs/>
          <w:sz w:val="24"/>
          <w:highlight w:val="none"/>
        </w:rPr>
      </w:pPr>
      <w:r>
        <w:rPr>
          <w:rFonts w:hint="eastAsia" w:ascii="宋体" w:hAnsi="宋体"/>
          <w:bCs/>
          <w:sz w:val="24"/>
          <w:highlight w:val="none"/>
        </w:rPr>
        <w:t>--其他原因需要暂停证书。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.7.2 暂停认证资格的程序</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必要时，CQM与获证客户沟通，核实证据；</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认证处置决定通知书</w:t>
      </w:r>
      <w:r>
        <w:rPr>
          <w:rFonts w:ascii="宋体" w:hAnsi="宋体"/>
          <w:bCs/>
          <w:sz w:val="24"/>
          <w:highlight w:val="none"/>
        </w:rPr>
        <w:t>》</w:t>
      </w:r>
      <w:r>
        <w:rPr>
          <w:rFonts w:hint="eastAsia" w:ascii="宋体" w:hAnsi="宋体" w:cs="宋体"/>
          <w:sz w:val="24"/>
          <w:highlight w:val="none"/>
        </w:rPr>
        <w:t>并公告；</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获证客户按照《管理体系认证证书和认证标志、认可标识使用规则</w:t>
      </w:r>
      <w:r>
        <w:rPr>
          <w:rFonts w:ascii="宋体" w:hAnsi="宋体" w:cs="宋体"/>
          <w:sz w:val="24"/>
          <w:highlight w:val="none"/>
        </w:rPr>
        <w:t>》</w:t>
      </w:r>
      <w:r>
        <w:rPr>
          <w:rFonts w:hint="eastAsia" w:ascii="宋体" w:hAnsi="宋体" w:cs="宋体"/>
          <w:sz w:val="24"/>
          <w:highlight w:val="none"/>
        </w:rPr>
        <w:t>停止使用认证证书和认证标志,</w:t>
      </w:r>
      <w:r>
        <w:rPr>
          <w:rFonts w:hint="eastAsia" w:ascii="宋体" w:hAnsi="宋体"/>
          <w:bCs/>
          <w:sz w:val="24"/>
          <w:highlight w:val="none"/>
        </w:rPr>
        <w:t xml:space="preserve"> 在暂停期间，客户的管理体系认证暂时无效</w:t>
      </w:r>
      <w:r>
        <w:rPr>
          <w:rFonts w:hint="eastAsia" w:ascii="宋体" w:hAnsi="宋体" w:cs="宋体"/>
          <w:sz w:val="24"/>
          <w:highlight w:val="none"/>
        </w:rPr>
        <w:t>。</w:t>
      </w:r>
    </w:p>
    <w:p>
      <w:pPr>
        <w:pStyle w:val="3"/>
        <w:spacing w:before="0" w:after="0" w:line="360" w:lineRule="auto"/>
        <w:rPr>
          <w:rFonts w:hint="eastAsia" w:ascii="宋体" w:hAnsi="宋体" w:eastAsia="宋体"/>
          <w:sz w:val="24"/>
          <w:highlight w:val="none"/>
        </w:rPr>
      </w:pPr>
      <w:bookmarkStart w:id="118" w:name="_Toc85256258"/>
      <w:bookmarkStart w:id="119" w:name="_Toc85105522"/>
      <w:bookmarkStart w:id="120" w:name="_Toc85103633"/>
      <w:bookmarkStart w:id="121" w:name="_Toc7095"/>
      <w:bookmarkStart w:id="122" w:name="_Toc185325636"/>
      <w:bookmarkStart w:id="123" w:name="_Toc444776343"/>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8</w:t>
      </w:r>
      <w:r>
        <w:rPr>
          <w:rFonts w:hint="eastAsia" w:ascii="宋体" w:hAnsi="宋体" w:eastAsia="宋体"/>
          <w:sz w:val="24"/>
          <w:highlight w:val="none"/>
        </w:rPr>
        <w:t xml:space="preserve"> 恢复认证资格的条件</w:t>
      </w:r>
      <w:bookmarkEnd w:id="118"/>
      <w:bookmarkEnd w:id="119"/>
      <w:bookmarkEnd w:id="120"/>
      <w:r>
        <w:rPr>
          <w:rFonts w:hint="eastAsia" w:ascii="宋体" w:hAnsi="宋体" w:eastAsia="宋体"/>
          <w:sz w:val="24"/>
          <w:highlight w:val="none"/>
        </w:rPr>
        <w:t>和程序</w:t>
      </w:r>
      <w:bookmarkEnd w:id="121"/>
      <w:bookmarkEnd w:id="122"/>
      <w:bookmarkEnd w:id="123"/>
    </w:p>
    <w:p>
      <w:pPr>
        <w:spacing w:line="360" w:lineRule="auto"/>
        <w:rPr>
          <w:rFonts w:hint="eastAsia"/>
          <w:bCs/>
          <w:highlight w:val="none"/>
        </w:rPr>
      </w:pPr>
      <w:r>
        <w:rPr>
          <w:rFonts w:hint="eastAsia" w:ascii="宋体" w:hAnsi="宋体"/>
          <w:bCs/>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hint="eastAsia"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.8.2 恢复认证资格的程序</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p>
      <w:pPr>
        <w:pStyle w:val="3"/>
        <w:spacing w:before="0" w:after="0" w:line="360" w:lineRule="auto"/>
        <w:rPr>
          <w:rFonts w:hint="eastAsia" w:ascii="宋体" w:hAnsi="宋体" w:eastAsia="宋体"/>
          <w:sz w:val="24"/>
          <w:highlight w:val="none"/>
        </w:rPr>
      </w:pPr>
      <w:bookmarkStart w:id="124" w:name="_Toc85103635"/>
      <w:bookmarkStart w:id="125" w:name="_Toc85256260"/>
      <w:bookmarkStart w:id="126" w:name="_Toc85105524"/>
      <w:bookmarkStart w:id="127" w:name="_Toc185325638"/>
      <w:bookmarkStart w:id="128" w:name="_Toc18850"/>
      <w:bookmarkStart w:id="129" w:name="_Toc444776345"/>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9</w:t>
      </w:r>
      <w:r>
        <w:rPr>
          <w:rFonts w:hint="eastAsia" w:ascii="宋体" w:hAnsi="宋体" w:eastAsia="宋体"/>
          <w:sz w:val="24"/>
          <w:highlight w:val="none"/>
        </w:rPr>
        <w:t xml:space="preserve"> 撤销认证资格的条件</w:t>
      </w:r>
      <w:bookmarkEnd w:id="124"/>
      <w:bookmarkEnd w:id="125"/>
      <w:bookmarkEnd w:id="126"/>
      <w:r>
        <w:rPr>
          <w:rFonts w:hint="eastAsia" w:ascii="宋体" w:hAnsi="宋体" w:eastAsia="宋体"/>
          <w:sz w:val="24"/>
          <w:highlight w:val="none"/>
        </w:rPr>
        <w:t>和程序</w:t>
      </w:r>
      <w:bookmarkEnd w:id="127"/>
      <w:bookmarkEnd w:id="128"/>
      <w:bookmarkEnd w:id="129"/>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hint="eastAsia"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获证客户审核未通过。</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获证客户被注销或撤销法律地位证明文件。</w:t>
      </w:r>
    </w:p>
    <w:p>
      <w:pPr>
        <w:spacing w:line="360" w:lineRule="auto"/>
        <w:ind w:firstLine="240" w:firstLineChars="10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获证客户的法律地位、资质不再符合国家的最新要求；</w:t>
      </w:r>
    </w:p>
    <w:p>
      <w:pPr>
        <w:pStyle w:val="11"/>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获证客户拒绝配合认证监管部门实施的监督检查，或者对有关事项的询问和调查提供了虚假材料或信息。</w:t>
      </w:r>
    </w:p>
    <w:p>
      <w:pPr>
        <w:pStyle w:val="11"/>
        <w:spacing w:line="360" w:lineRule="auto"/>
        <w:ind w:left="0" w:leftChars="0" w:firstLine="120" w:firstLineChars="50"/>
        <w:rPr>
          <w:rFonts w:hint="eastAsia" w:ascii="宋体" w:hAnsi="宋体"/>
          <w:bCs/>
          <w:iCs/>
          <w:sz w:val="24"/>
          <w:highlight w:val="none"/>
          <w:lang w:eastAsia="zh-CN"/>
        </w:rPr>
      </w:pPr>
      <w:r>
        <w:rPr>
          <w:rFonts w:hint="eastAsia" w:ascii="宋体" w:hAnsi="宋体"/>
          <w:bCs/>
          <w:iCs/>
          <w:sz w:val="24"/>
          <w:highlight w:val="none"/>
          <w:lang w:eastAsia="zh-CN"/>
        </w:rPr>
        <w:t>a）</w:t>
      </w:r>
      <w:r>
        <w:rPr>
          <w:rFonts w:hint="eastAsia" w:ascii="宋体" w:hAnsi="宋体"/>
          <w:color w:val="000000"/>
          <w:sz w:val="24"/>
          <w:highlight w:val="none"/>
          <w:lang w:val="en-US" w:eastAsia="zh-CN"/>
        </w:rPr>
        <w:t>被国家行政主管部门列入信用严重失信企业名单。</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获证客户出现重大的</w:t>
      </w:r>
      <w:r>
        <w:rPr>
          <w:rFonts w:hint="eastAsia" w:ascii="宋体" w:hAnsi="宋体"/>
          <w:bCs/>
          <w:iCs/>
          <w:sz w:val="24"/>
          <w:highlight w:val="none"/>
          <w:lang w:val="en-US" w:eastAsia="zh-CN"/>
        </w:rPr>
        <w:t>管理体系相关</w:t>
      </w:r>
      <w:r>
        <w:rPr>
          <w:rFonts w:hint="eastAsia" w:ascii="宋体" w:hAnsi="宋体"/>
          <w:bCs/>
          <w:iCs/>
          <w:sz w:val="24"/>
          <w:highlight w:val="none"/>
        </w:rPr>
        <w:t>事故等，经执法监管部门确认是获证客户违规造成。</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获证客户于获证期间在认证范围内发生国家</w:t>
      </w:r>
      <w:r>
        <w:rPr>
          <w:rFonts w:hint="eastAsia" w:ascii="宋体" w:hAnsi="宋体"/>
          <w:color w:val="000000"/>
          <w:sz w:val="24"/>
          <w:highlight w:val="none"/>
        </w:rPr>
        <w:t>抽</w:t>
      </w:r>
      <w:r>
        <w:rPr>
          <w:rFonts w:ascii="宋体" w:hAnsi="宋体"/>
          <w:color w:val="000000"/>
          <w:sz w:val="24"/>
          <w:highlight w:val="none"/>
        </w:rPr>
        <w:t>检不合格，并造成严重影响</w:t>
      </w:r>
      <w:r>
        <w:rPr>
          <w:rFonts w:hint="eastAsia" w:ascii="宋体" w:hAnsi="宋体"/>
          <w:color w:val="000000"/>
          <w:sz w:val="24"/>
          <w:highlight w:val="none"/>
        </w:rPr>
        <w:t>。</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b）拒绝接受国家行政主管部门监督抽查的。</w:t>
      </w:r>
    </w:p>
    <w:p>
      <w:pPr>
        <w:pStyle w:val="11"/>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获证客户在证书有效期间有其他严重违反法律法规行为，受到相关执法监管部门处罚。</w:t>
      </w:r>
    </w:p>
    <w:p>
      <w:pPr>
        <w:pStyle w:val="11"/>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获证客户暂停认证证书的期限已满但导致暂停的问题未得到解决或纠正（包括持有的行政许可证明、资质证书、强制性认证证书等已经过期失效但申请未获批准）。</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获证客户没有运行管理体系或者已不具备运行条件。</w:t>
      </w:r>
    </w:p>
    <w:p>
      <w:pPr>
        <w:pStyle w:val="11"/>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)获证客户在认证范围内的管理体系发生重大变更，未向CQM通报，并在短期内无法满足认证要求；</w:t>
      </w:r>
    </w:p>
    <w:p>
      <w:pPr>
        <w:pStyle w:val="11"/>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获证客户体制变更后原管理体系已不再适宜；</w:t>
      </w:r>
    </w:p>
    <w:p>
      <w:pPr>
        <w:pStyle w:val="11"/>
        <w:spacing w:line="360" w:lineRule="auto"/>
        <w:rPr>
          <w:rFonts w:hint="eastAsia" w:ascii="宋体" w:hAnsi="宋体"/>
          <w:bCs/>
          <w:iCs/>
          <w:sz w:val="24"/>
          <w:highlight w:val="none"/>
        </w:rPr>
      </w:pPr>
      <w:r>
        <w:rPr>
          <w:rFonts w:hint="eastAsia" w:ascii="宋体" w:hAnsi="宋体"/>
          <w:bCs/>
          <w:iCs/>
          <w:sz w:val="24"/>
          <w:highlight w:val="none"/>
        </w:rPr>
        <w:t>c) 获证客户不再生产体系覆盖内产品；</w:t>
      </w:r>
    </w:p>
    <w:p>
      <w:pPr>
        <w:pStyle w:val="11"/>
        <w:spacing w:line="360" w:lineRule="auto"/>
        <w:rPr>
          <w:rFonts w:hint="eastAsia" w:ascii="宋体" w:hAnsi="宋体"/>
          <w:bCs/>
          <w:iCs/>
          <w:sz w:val="24"/>
          <w:highlight w:val="none"/>
        </w:rPr>
      </w:pPr>
      <w:r>
        <w:rPr>
          <w:rFonts w:hint="eastAsia" w:ascii="宋体" w:hAnsi="宋体"/>
          <w:bCs/>
          <w:iCs/>
          <w:sz w:val="24"/>
          <w:highlight w:val="none"/>
        </w:rPr>
        <w:t xml:space="preserve">d) </w:t>
      </w:r>
      <w:r>
        <w:rPr>
          <w:rFonts w:ascii="宋体" w:hAnsi="宋体"/>
          <w:bCs/>
          <w:iCs/>
          <w:sz w:val="24"/>
          <w:highlight w:val="none"/>
        </w:rPr>
        <w:t>获证客户在认证范围内的组织单元、产品、服务及其过程和活动严重不能满足适用的最新法律法规和标准的要求，并在短期内无法采取措施或采取措施无效的；</w:t>
      </w:r>
    </w:p>
    <w:p>
      <w:pPr>
        <w:pStyle w:val="11"/>
        <w:spacing w:line="360" w:lineRule="auto"/>
        <w:rPr>
          <w:rFonts w:hint="eastAsia" w:ascii="宋体" w:hAnsi="宋体"/>
          <w:bCs/>
          <w:iCs/>
          <w:sz w:val="24"/>
          <w:highlight w:val="none"/>
          <w:lang w:eastAsia="zh-CN"/>
        </w:rPr>
      </w:pPr>
      <w:r>
        <w:rPr>
          <w:rFonts w:hint="eastAsia" w:ascii="宋体" w:hAnsi="宋体"/>
          <w:bCs/>
          <w:iCs/>
          <w:sz w:val="24"/>
          <w:highlight w:val="none"/>
        </w:rPr>
        <w:t>e</w:t>
      </w:r>
      <w:r>
        <w:rPr>
          <w:rFonts w:ascii="宋体" w:hAnsi="宋体"/>
          <w:bCs/>
          <w:iCs/>
          <w:sz w:val="24"/>
          <w:highlight w:val="none"/>
        </w:rPr>
        <w:t>)获证客户</w:t>
      </w:r>
      <w:r>
        <w:rPr>
          <w:rFonts w:hint="eastAsia" w:ascii="宋体" w:hAnsi="宋体"/>
          <w:bCs/>
          <w:iCs/>
          <w:sz w:val="24"/>
          <w:highlight w:val="none"/>
        </w:rPr>
        <w:t>停业或关闭</w:t>
      </w:r>
      <w:r>
        <w:rPr>
          <w:rFonts w:ascii="宋体" w:hAnsi="宋体"/>
          <w:bCs/>
          <w:iCs/>
          <w:sz w:val="24"/>
          <w:highlight w:val="none"/>
        </w:rPr>
        <w:t>的</w:t>
      </w:r>
      <w:r>
        <w:rPr>
          <w:rFonts w:hint="eastAsia" w:ascii="宋体" w:hAnsi="宋体"/>
          <w:bCs/>
          <w:iCs/>
          <w:sz w:val="24"/>
          <w:highlight w:val="none"/>
        </w:rPr>
        <w:t>。</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获证客户不按相关规定正确引用和宣传获得的认证信息，造成严重影响或后果，或者认证机构已要求其纠正但超过</w:t>
      </w:r>
      <w:r>
        <w:rPr>
          <w:rFonts w:hint="eastAsia" w:ascii="宋体" w:hAnsi="宋体"/>
          <w:bCs/>
          <w:iCs/>
          <w:sz w:val="24"/>
          <w:highlight w:val="none"/>
          <w:lang w:eastAsia="zh-CN"/>
        </w:rPr>
        <w:t>2</w:t>
      </w:r>
      <w:r>
        <w:rPr>
          <w:rFonts w:hint="eastAsia" w:ascii="宋体" w:hAnsi="宋体"/>
          <w:bCs/>
          <w:iCs/>
          <w:sz w:val="24"/>
          <w:highlight w:val="none"/>
        </w:rPr>
        <w:t>个月仍未纠正。</w:t>
      </w:r>
    </w:p>
    <w:p>
      <w:pPr>
        <w:pStyle w:val="11"/>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获证客户在获证期间发生大量误用认证证书和认证标志，并未能及时有效地采取纠正和纠正措施，误导消费者，影响面大；</w:t>
      </w:r>
    </w:p>
    <w:p>
      <w:pPr>
        <w:pStyle w:val="11"/>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获证客户转让认证证书和认证标志；</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获证客户发生了与</w:t>
      </w:r>
      <w:r>
        <w:rPr>
          <w:rFonts w:hint="eastAsia" w:ascii="宋体" w:hAnsi="宋体"/>
          <w:bCs/>
          <w:iCs/>
          <w:sz w:val="24"/>
          <w:highlight w:val="none"/>
          <w:lang w:val="en-US" w:eastAsia="zh-CN"/>
        </w:rPr>
        <w:t>管理体系</w:t>
      </w:r>
      <w:r>
        <w:rPr>
          <w:rFonts w:hint="eastAsia" w:ascii="宋体" w:hAnsi="宋体"/>
          <w:bCs/>
          <w:iCs/>
          <w:sz w:val="24"/>
          <w:highlight w:val="none"/>
        </w:rPr>
        <w:t>有关的重大事故，反映出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获证客户因换发新证而撤销旧证书。</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获证客户不承担、履行认证合同约定的责任和义务。</w:t>
      </w:r>
    </w:p>
    <w:p>
      <w:pPr>
        <w:pStyle w:val="11"/>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获证客户单方面宣布不履行与CQM签署认证合同中规定的责任和义务的；</w:t>
      </w:r>
    </w:p>
    <w:p>
      <w:pPr>
        <w:pStyle w:val="11"/>
        <w:spacing w:line="360" w:lineRule="auto"/>
        <w:rPr>
          <w:rFonts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获证客户长期拖缴认证费用，并催缴无效的；</w:t>
      </w:r>
    </w:p>
    <w:p>
      <w:pPr>
        <w:pStyle w:val="11"/>
        <w:spacing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 经核实获证客户提供虚假信息，且影响了审核、认证决定的有效性的；</w:t>
      </w:r>
    </w:p>
    <w:p>
      <w:pPr>
        <w:pStyle w:val="11"/>
        <w:spacing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 获证客户</w:t>
      </w:r>
      <w:r>
        <w:rPr>
          <w:rFonts w:hint="eastAsia" w:ascii="宋体" w:hAnsi="宋体"/>
          <w:bCs/>
          <w:iCs/>
          <w:sz w:val="24"/>
          <w:highlight w:val="none"/>
        </w:rPr>
        <w:t>更换认证机构的（未书面告知CQM的）；</w:t>
      </w:r>
    </w:p>
    <w:p>
      <w:pPr>
        <w:pStyle w:val="11"/>
        <w:spacing w:line="360" w:lineRule="auto"/>
        <w:rPr>
          <w:rFonts w:hint="eastAsia" w:ascii="宋体" w:hAnsi="宋体"/>
          <w:bCs/>
          <w:iCs/>
          <w:sz w:val="24"/>
          <w:highlight w:val="none"/>
        </w:rPr>
      </w:pPr>
      <w:r>
        <w:rPr>
          <w:rFonts w:hint="eastAsia" w:ascii="宋体" w:hAnsi="宋体"/>
          <w:bCs/>
          <w:iCs/>
          <w:sz w:val="24"/>
          <w:highlight w:val="none"/>
        </w:rPr>
        <w:t>e</w:t>
      </w:r>
      <w:r>
        <w:rPr>
          <w:rFonts w:ascii="宋体" w:hAnsi="宋体"/>
          <w:bCs/>
          <w:iCs/>
          <w:sz w:val="24"/>
          <w:highlight w:val="none"/>
        </w:rPr>
        <w:t>) 获证客户对顾客或相关方的重大投诉不做处理的</w:t>
      </w:r>
      <w:r>
        <w:rPr>
          <w:rFonts w:hint="eastAsia" w:ascii="宋体" w:hAnsi="宋体"/>
          <w:bCs/>
          <w:iCs/>
          <w:sz w:val="24"/>
          <w:highlight w:val="none"/>
        </w:rPr>
        <w:t>。</w:t>
      </w:r>
    </w:p>
    <w:p>
      <w:pPr>
        <w:pStyle w:val="11"/>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获证客户主动放弃认证。</w:t>
      </w:r>
    </w:p>
    <w:p>
      <w:pPr>
        <w:pStyle w:val="11"/>
        <w:spacing w:line="360" w:lineRule="auto"/>
        <w:ind w:left="0" w:leftChars="0"/>
        <w:rPr>
          <w:rFonts w:hint="eastAsia" w:ascii="宋体" w:hAnsi="宋体"/>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其他原因需要撤销证书。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并公告，收回认证证书，认证客户不得再使用认证标志。</w:t>
      </w:r>
    </w:p>
    <w:p>
      <w:pPr>
        <w:pStyle w:val="2"/>
        <w:spacing w:line="600" w:lineRule="auto"/>
        <w:rPr>
          <w:rFonts w:hint="eastAsia" w:ascii="宋体" w:hAnsi="宋体"/>
          <w:highlight w:val="none"/>
        </w:rPr>
      </w:pPr>
      <w:bookmarkStart w:id="130" w:name="_Toc19860"/>
      <w:bookmarkStart w:id="131" w:name="_Toc8695"/>
      <w:bookmarkStart w:id="132" w:name="_Toc28204"/>
      <w:bookmarkStart w:id="133" w:name="_Toc19746"/>
      <w:r>
        <w:rPr>
          <w:rFonts w:hint="eastAsia" w:ascii="宋体" w:hAnsi="宋体"/>
          <w:highlight w:val="none"/>
          <w:lang w:val="en-US" w:eastAsia="zh-CN"/>
        </w:rPr>
        <w:t>11</w:t>
      </w:r>
      <w:r>
        <w:rPr>
          <w:rFonts w:hint="eastAsia" w:ascii="宋体" w:hAnsi="宋体"/>
          <w:highlight w:val="none"/>
        </w:rPr>
        <w:t xml:space="preserve"> 认证证书和认证标志</w:t>
      </w:r>
      <w:bookmarkEnd w:id="130"/>
      <w:bookmarkEnd w:id="131"/>
      <w:bookmarkEnd w:id="132"/>
      <w:bookmarkEnd w:id="133"/>
    </w:p>
    <w:p>
      <w:pPr>
        <w:pStyle w:val="3"/>
        <w:spacing w:before="0" w:after="0" w:line="360" w:lineRule="auto"/>
        <w:rPr>
          <w:rFonts w:hint="eastAsia" w:ascii="宋体" w:hAnsi="宋体" w:eastAsia="宋体"/>
          <w:sz w:val="24"/>
          <w:highlight w:val="none"/>
        </w:rPr>
      </w:pPr>
      <w:bookmarkStart w:id="134" w:name="_Toc15233"/>
      <w:bookmarkStart w:id="135" w:name="_Toc185325640"/>
      <w:bookmarkStart w:id="136" w:name="_Toc85105526"/>
      <w:bookmarkStart w:id="137" w:name="_Toc85103637"/>
      <w:bookmarkStart w:id="138" w:name="_Toc444776347"/>
      <w:bookmarkStart w:id="139" w:name="_Toc85256262"/>
      <w:r>
        <w:rPr>
          <w:rFonts w:hint="eastAsia" w:ascii="宋体" w:hAnsi="宋体" w:eastAsia="宋体"/>
          <w:sz w:val="24"/>
          <w:highlight w:val="none"/>
          <w:lang w:eastAsia="zh-CN"/>
        </w:rPr>
        <w:t>11</w:t>
      </w:r>
      <w:r>
        <w:rPr>
          <w:rFonts w:hint="eastAsia" w:ascii="宋体" w:hAnsi="宋体" w:eastAsia="宋体"/>
          <w:sz w:val="24"/>
          <w:highlight w:val="none"/>
        </w:rPr>
        <w:t>.1 认证证书和认证标志</w:t>
      </w:r>
      <w:bookmarkEnd w:id="134"/>
      <w:bookmarkEnd w:id="135"/>
      <w:bookmarkEnd w:id="136"/>
      <w:bookmarkEnd w:id="137"/>
      <w:bookmarkEnd w:id="138"/>
      <w:bookmarkEnd w:id="139"/>
    </w:p>
    <w:p>
      <w:pPr>
        <w:spacing w:line="360" w:lineRule="auto"/>
        <w:rPr>
          <w:rFonts w:hint="eastAsia" w:ascii="宋体" w:hAnsi="宋体"/>
          <w:sz w:val="24"/>
          <w:highlight w:val="none"/>
        </w:rPr>
      </w:pPr>
      <w:r>
        <w:rPr>
          <w:rFonts w:hint="eastAsia" w:ascii="宋体" w:hAnsi="宋体"/>
          <w:sz w:val="24"/>
          <w:highlight w:val="none"/>
          <w:lang w:eastAsia="zh-CN"/>
        </w:rPr>
        <w:t>11</w:t>
      </w:r>
      <w:r>
        <w:rPr>
          <w:rFonts w:hint="eastAsia" w:ascii="宋体" w:hAnsi="宋体"/>
          <w:sz w:val="24"/>
          <w:highlight w:val="none"/>
        </w:rPr>
        <w:t>.1.1 认证证书</w:t>
      </w:r>
    </w:p>
    <w:p>
      <w:pPr>
        <w:spacing w:line="360" w:lineRule="auto"/>
        <w:ind w:firstLine="480" w:firstLineChars="200"/>
        <w:rPr>
          <w:rFonts w:hint="eastAsia"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hint="eastAsia" w:ascii="宋体" w:hAnsi="宋体"/>
          <w:sz w:val="24"/>
          <w:highlight w:val="none"/>
        </w:rPr>
      </w:pPr>
      <w:r>
        <w:rPr>
          <w:rFonts w:hint="eastAsia" w:ascii="宋体" w:hAnsi="宋体"/>
          <w:sz w:val="24"/>
          <w:highlight w:val="none"/>
          <w:lang w:eastAsia="zh-CN"/>
        </w:rPr>
        <w:t>11</w:t>
      </w:r>
      <w:r>
        <w:rPr>
          <w:rFonts w:hint="eastAsia" w:ascii="宋体" w:hAnsi="宋体"/>
          <w:sz w:val="24"/>
          <w:highlight w:val="none"/>
        </w:rPr>
        <w:t>.1.2 认证标志</w:t>
      </w:r>
    </w:p>
    <w:p>
      <w:pPr>
        <w:spacing w:line="360" w:lineRule="auto"/>
        <w:rPr>
          <w:rFonts w:hint="eastAsia" w:ascii="宋体" w:hAnsi="宋体"/>
          <w:sz w:val="24"/>
          <w:highlight w:val="none"/>
        </w:rPr>
      </w:pPr>
      <w:r>
        <w:rPr>
          <w:rFonts w:hint="eastAsia" w:ascii="宋体" w:hAnsi="宋体"/>
          <w:sz w:val="24"/>
          <w:highlight w:val="none"/>
        </w:rPr>
        <w:t xml:space="preserve"> </w:t>
      </w:r>
      <w:r>
        <w:rPr>
          <w:highlight w:val="none"/>
        </w:rPr>
        <w:drawing>
          <wp:anchor distT="0" distB="0" distL="114300" distR="114300" simplePos="0" relativeHeight="251666432" behindDoc="0" locked="0" layoutInCell="1" allowOverlap="1">
            <wp:simplePos x="0" y="0"/>
            <wp:positionH relativeFrom="column">
              <wp:posOffset>435610</wp:posOffset>
            </wp:positionH>
            <wp:positionV relativeFrom="paragraph">
              <wp:posOffset>79375</wp:posOffset>
            </wp:positionV>
            <wp:extent cx="685800" cy="685800"/>
            <wp:effectExtent l="0" t="0" r="0" b="0"/>
            <wp:wrapNone/>
            <wp:docPr id="7" name="图片 4" descr="CQM-R"/>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4" descr="CQM-R"/>
                    <pic:cNvPicPr>
                      <a:picLocks noChangeAspect="true"/>
                    </pic:cNvPicPr>
                  </pic:nvPicPr>
                  <pic:blipFill>
                    <a:blip r:embed="rId12"/>
                    <a:stretch>
                      <a:fillRect/>
                    </a:stretch>
                  </pic:blipFill>
                  <pic:spPr>
                    <a:xfrm>
                      <a:off x="0" y="0"/>
                      <a:ext cx="685800" cy="685800"/>
                    </a:xfrm>
                    <a:prstGeom prst="rect">
                      <a:avLst/>
                    </a:prstGeom>
                    <a:noFill/>
                    <a:ln>
                      <a:noFill/>
                    </a:ln>
                  </pic:spPr>
                </pic:pic>
              </a:graphicData>
            </a:graphic>
          </wp:anchor>
        </w:drawing>
      </w:r>
    </w:p>
    <w:p>
      <w:pPr>
        <w:spacing w:line="360" w:lineRule="auto"/>
        <w:rPr>
          <w:rFonts w:hint="eastAsia" w:ascii="宋体" w:hAnsi="宋体"/>
          <w:sz w:val="24"/>
          <w:highlight w:val="none"/>
        </w:rPr>
      </w:pPr>
    </w:p>
    <w:p>
      <w:pPr>
        <w:spacing w:line="276" w:lineRule="auto"/>
        <w:rPr>
          <w:rFonts w:hint="eastAsia" w:ascii="宋体" w:hAnsi="宋体"/>
          <w:sz w:val="24"/>
          <w:highlight w:val="none"/>
        </w:rPr>
      </w:pPr>
      <w:r>
        <w:rPr>
          <w:rFonts w:hint="eastAsia" w:ascii="宋体" w:hAnsi="宋体"/>
          <w:sz w:val="24"/>
          <w:highlight w:val="none"/>
        </w:rPr>
        <w:t xml:space="preserve">  </w:t>
      </w:r>
    </w:p>
    <w:p>
      <w:pPr>
        <w:pStyle w:val="3"/>
        <w:spacing w:before="0" w:after="0" w:line="360" w:lineRule="auto"/>
        <w:rPr>
          <w:rFonts w:hint="eastAsia" w:ascii="宋体" w:hAnsi="宋体" w:eastAsia="宋体"/>
          <w:sz w:val="24"/>
          <w:highlight w:val="none"/>
        </w:rPr>
      </w:pPr>
      <w:bookmarkStart w:id="140" w:name="_Toc185325641"/>
      <w:bookmarkStart w:id="141" w:name="_Toc85256263"/>
      <w:bookmarkStart w:id="142" w:name="_Toc85105527"/>
      <w:bookmarkStart w:id="143" w:name="_Toc444776348"/>
      <w:bookmarkStart w:id="144" w:name="_Toc7122"/>
      <w:r>
        <w:rPr>
          <w:rFonts w:hint="eastAsia" w:ascii="宋体" w:hAnsi="宋体" w:eastAsia="宋体"/>
          <w:sz w:val="24"/>
          <w:highlight w:val="none"/>
          <w:lang w:eastAsia="zh-CN"/>
        </w:rPr>
        <w:t>11</w:t>
      </w:r>
      <w:r>
        <w:rPr>
          <w:rFonts w:hint="eastAsia" w:ascii="宋体" w:hAnsi="宋体" w:eastAsia="宋体"/>
          <w:sz w:val="24"/>
          <w:highlight w:val="none"/>
        </w:rPr>
        <w:t>.2 认证证书和认证标志的使用</w:t>
      </w:r>
      <w:bookmarkEnd w:id="140"/>
      <w:bookmarkEnd w:id="141"/>
      <w:bookmarkEnd w:id="142"/>
      <w:bookmarkEnd w:id="143"/>
      <w:bookmarkEnd w:id="144"/>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获证客户应建立认证证书和认证标志的使用方案，获证后按照《管理体系认证证书和认证标志、认可标识使用规则</w:t>
      </w:r>
      <w:r>
        <w:rPr>
          <w:rFonts w:ascii="宋体" w:hAnsi="宋体"/>
          <w:sz w:val="24"/>
          <w:highlight w:val="none"/>
        </w:rPr>
        <w:t>》</w:t>
      </w:r>
      <w:r>
        <w:rPr>
          <w:rFonts w:hint="eastAsia" w:ascii="宋体" w:hAnsi="宋体"/>
          <w:sz w:val="24"/>
          <w:highlight w:val="none"/>
        </w:rPr>
        <w:t>正确使用认证证书和认证标志。</w:t>
      </w:r>
    </w:p>
    <w:p>
      <w:pPr>
        <w:pStyle w:val="3"/>
        <w:spacing w:before="0" w:after="0" w:line="360" w:lineRule="auto"/>
        <w:rPr>
          <w:rFonts w:hint="eastAsia" w:ascii="宋体" w:hAnsi="宋体" w:eastAsia="宋体"/>
          <w:sz w:val="24"/>
          <w:highlight w:val="none"/>
          <w:lang w:eastAsia="zh-CN"/>
        </w:rPr>
      </w:pPr>
      <w:bookmarkStart w:id="145" w:name="_Toc85105528"/>
      <w:bookmarkStart w:id="146" w:name="_Toc444776349"/>
      <w:bookmarkStart w:id="147" w:name="_Toc85103638"/>
      <w:bookmarkStart w:id="148" w:name="_Toc185325642"/>
      <w:bookmarkStart w:id="149" w:name="_Toc85256264"/>
      <w:bookmarkStart w:id="150" w:name="_Toc30404"/>
      <w:r>
        <w:rPr>
          <w:rFonts w:hint="eastAsia" w:ascii="宋体" w:hAnsi="宋体" w:eastAsia="宋体"/>
          <w:sz w:val="24"/>
          <w:highlight w:val="none"/>
          <w:lang w:eastAsia="zh-CN"/>
        </w:rPr>
        <w:t>11</w:t>
      </w:r>
      <w:r>
        <w:rPr>
          <w:rFonts w:hint="eastAsia" w:ascii="宋体" w:hAnsi="宋体" w:eastAsia="宋体"/>
          <w:sz w:val="24"/>
          <w:highlight w:val="none"/>
        </w:rPr>
        <w:t>.3 认证证书和认证标志的误用</w:t>
      </w:r>
      <w:bookmarkEnd w:id="145"/>
      <w:bookmarkEnd w:id="146"/>
      <w:bookmarkEnd w:id="147"/>
      <w:bookmarkEnd w:id="148"/>
      <w:bookmarkEnd w:id="149"/>
      <w:bookmarkEnd w:id="150"/>
    </w:p>
    <w:p>
      <w:pPr>
        <w:spacing w:line="360" w:lineRule="auto"/>
        <w:ind w:firstLine="480" w:firstLineChars="200"/>
        <w:rPr>
          <w:rFonts w:hint="eastAsia"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见《管理体系管理体系认证证书和认证标志、认可标识使用规则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p>
    <w:p>
      <w:pPr>
        <w:pStyle w:val="2"/>
        <w:spacing w:line="600" w:lineRule="auto"/>
        <w:rPr>
          <w:rFonts w:hint="eastAsia" w:ascii="宋体" w:hAnsi="宋体"/>
          <w:highlight w:val="none"/>
        </w:rPr>
      </w:pPr>
      <w:bookmarkStart w:id="151" w:name="_Toc7464"/>
      <w:bookmarkStart w:id="152" w:name="_Toc25355"/>
      <w:bookmarkStart w:id="153" w:name="_Toc25232"/>
      <w:bookmarkStart w:id="154" w:name="_Toc17325"/>
      <w:r>
        <w:rPr>
          <w:rFonts w:hint="eastAsia" w:ascii="宋体" w:hAnsi="宋体"/>
          <w:highlight w:val="none"/>
          <w:lang w:val="en-US" w:eastAsia="zh-CN"/>
        </w:rPr>
        <w:t>12</w:t>
      </w:r>
      <w:r>
        <w:rPr>
          <w:rFonts w:hint="eastAsia" w:ascii="宋体" w:hAnsi="宋体"/>
          <w:highlight w:val="none"/>
        </w:rPr>
        <w:t xml:space="preserve"> </w:t>
      </w:r>
      <w:r>
        <w:rPr>
          <w:rFonts w:hint="eastAsia" w:ascii="宋体" w:hAnsi="宋体"/>
          <w:highlight w:val="none"/>
          <w:lang w:eastAsia="zh-CN"/>
        </w:rPr>
        <w:t>获证客户的</w:t>
      </w:r>
      <w:r>
        <w:rPr>
          <w:rFonts w:hint="eastAsia" w:ascii="宋体" w:hAnsi="宋体"/>
          <w:highlight w:val="none"/>
        </w:rPr>
        <w:t>信息通报</w:t>
      </w:r>
      <w:bookmarkEnd w:id="151"/>
      <w:bookmarkEnd w:id="152"/>
      <w:bookmarkEnd w:id="153"/>
      <w:bookmarkEnd w:id="154"/>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组织地址(包括：注册地址、认证地址)；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证书表述的组织认证场所/生产场；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管理体系文件；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产品标准；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商标。</w:t>
      </w:r>
    </w:p>
    <w:p>
      <w:pPr>
        <w:spacing w:line="360" w:lineRule="auto"/>
        <w:ind w:firstLine="480" w:firstLineChars="200"/>
        <w:rPr>
          <w:rFonts w:hint="eastAsia" w:ascii="宋体" w:hAnsi="宋体"/>
          <w:sz w:val="24"/>
          <w:highlight w:val="none"/>
        </w:rPr>
      </w:pPr>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w:t>
      </w:r>
    </w:p>
    <w:p>
      <w:pPr>
        <w:pStyle w:val="2"/>
        <w:spacing w:line="600" w:lineRule="auto"/>
        <w:rPr>
          <w:rFonts w:hint="eastAsia" w:ascii="宋体" w:hAnsi="宋体"/>
          <w:highlight w:val="none"/>
          <w:lang w:eastAsia="zh-CN"/>
        </w:rPr>
      </w:pPr>
      <w:bookmarkStart w:id="155" w:name="_Toc23702"/>
      <w:bookmarkStart w:id="156" w:name="_Toc12709"/>
      <w:bookmarkStart w:id="157" w:name="_Toc3941"/>
      <w:bookmarkStart w:id="158" w:name="_Toc12794"/>
      <w:r>
        <w:rPr>
          <w:rFonts w:hint="eastAsia" w:ascii="宋体" w:hAnsi="宋体"/>
          <w:highlight w:val="none"/>
          <w:lang w:val="en-US" w:eastAsia="zh-CN"/>
        </w:rPr>
        <w:t>13</w:t>
      </w:r>
      <w:r>
        <w:rPr>
          <w:rFonts w:hint="eastAsia" w:ascii="宋体" w:hAnsi="宋体"/>
          <w:highlight w:val="none"/>
        </w:rPr>
        <w:t xml:space="preserve"> 认证要求变更</w:t>
      </w:r>
      <w:r>
        <w:rPr>
          <w:rFonts w:hint="eastAsia" w:ascii="宋体" w:hAnsi="宋体"/>
          <w:highlight w:val="none"/>
          <w:lang w:eastAsia="zh-CN"/>
        </w:rPr>
        <w:t>的条件和程序</w:t>
      </w:r>
      <w:bookmarkEnd w:id="155"/>
      <w:bookmarkEnd w:id="156"/>
      <w:bookmarkEnd w:id="157"/>
      <w:bookmarkEnd w:id="158"/>
    </w:p>
    <w:p>
      <w:pPr>
        <w:pStyle w:val="3"/>
        <w:spacing w:before="0" w:after="0" w:line="360" w:lineRule="auto"/>
        <w:rPr>
          <w:rFonts w:hint="eastAsia" w:ascii="宋体" w:hAnsi="宋体" w:eastAsia="宋体"/>
          <w:sz w:val="24"/>
          <w:highlight w:val="none"/>
        </w:rPr>
      </w:pPr>
      <w:bookmarkStart w:id="159" w:name="_Toc29140"/>
      <w:bookmarkStart w:id="160" w:name="_Toc444776352"/>
      <w:r>
        <w:rPr>
          <w:rFonts w:hint="eastAsia" w:ascii="宋体" w:hAnsi="宋体" w:eastAsia="宋体"/>
          <w:sz w:val="24"/>
          <w:highlight w:val="none"/>
          <w:lang w:eastAsia="zh-CN"/>
        </w:rPr>
        <w:t>13</w:t>
      </w:r>
      <w:r>
        <w:rPr>
          <w:rFonts w:hint="eastAsia" w:ascii="宋体" w:hAnsi="宋体" w:eastAsia="宋体"/>
          <w:sz w:val="24"/>
          <w:highlight w:val="none"/>
        </w:rPr>
        <w:t>.1 认证要求变更的条件</w:t>
      </w:r>
      <w:bookmarkEnd w:id="159"/>
      <w:bookmarkEnd w:id="160"/>
    </w:p>
    <w:p>
      <w:pPr>
        <w:numPr>
          <w:ilvl w:val="0"/>
          <w:numId w:val="24"/>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24"/>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24"/>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24"/>
        </w:numPr>
        <w:spacing w:line="360" w:lineRule="auto"/>
        <w:rPr>
          <w:rFonts w:hint="eastAsia" w:ascii="宋体" w:hAnsi="宋体"/>
          <w:sz w:val="24"/>
          <w:highlight w:val="none"/>
        </w:rPr>
      </w:pPr>
      <w:r>
        <w:rPr>
          <w:rFonts w:hint="eastAsia" w:ascii="宋体" w:hAnsi="宋体"/>
          <w:sz w:val="24"/>
          <w:highlight w:val="none"/>
        </w:rPr>
        <w:t>获证客户的管理体系已满足新的认证要求,且已正常运行。</w:t>
      </w:r>
    </w:p>
    <w:p>
      <w:pPr>
        <w:pStyle w:val="3"/>
        <w:spacing w:before="0" w:after="0" w:line="360" w:lineRule="auto"/>
        <w:rPr>
          <w:rFonts w:hint="eastAsia" w:ascii="宋体" w:hAnsi="宋体" w:eastAsia="宋体"/>
          <w:sz w:val="24"/>
          <w:highlight w:val="none"/>
          <w:lang w:eastAsia="zh-CN"/>
        </w:rPr>
      </w:pPr>
      <w:bookmarkStart w:id="161" w:name="_Toc444776353"/>
      <w:bookmarkStart w:id="162" w:name="_Toc8942"/>
      <w:r>
        <w:rPr>
          <w:rFonts w:hint="eastAsia" w:ascii="宋体" w:hAnsi="宋体" w:eastAsia="宋体"/>
          <w:sz w:val="24"/>
          <w:highlight w:val="none"/>
          <w:lang w:eastAsia="zh-CN"/>
        </w:rPr>
        <w:t>13</w:t>
      </w:r>
      <w:r>
        <w:rPr>
          <w:rFonts w:hint="eastAsia" w:ascii="宋体" w:hAnsi="宋体" w:eastAsia="宋体"/>
          <w:sz w:val="24"/>
          <w:highlight w:val="none"/>
        </w:rPr>
        <w:t>.</w:t>
      </w:r>
      <w:r>
        <w:rPr>
          <w:rFonts w:hint="eastAsia" w:ascii="宋体" w:hAnsi="宋体" w:eastAsia="宋体"/>
          <w:sz w:val="24"/>
          <w:highlight w:val="none"/>
          <w:lang w:eastAsia="zh-CN"/>
        </w:rPr>
        <w:t>2</w:t>
      </w:r>
      <w:r>
        <w:rPr>
          <w:rFonts w:hint="eastAsia" w:ascii="宋体" w:hAnsi="宋体" w:eastAsia="宋体"/>
          <w:sz w:val="24"/>
          <w:highlight w:val="none"/>
        </w:rPr>
        <w:t xml:space="preserve"> 认证要求变更的</w:t>
      </w:r>
      <w:r>
        <w:rPr>
          <w:rFonts w:hint="eastAsia" w:ascii="宋体" w:hAnsi="宋体" w:eastAsia="宋体"/>
          <w:sz w:val="24"/>
          <w:highlight w:val="none"/>
          <w:lang w:eastAsia="zh-CN"/>
        </w:rPr>
        <w:t>程序</w:t>
      </w:r>
      <w:bookmarkEnd w:id="161"/>
      <w:bookmarkEnd w:id="162"/>
    </w:p>
    <w:p>
      <w:pPr>
        <w:numPr>
          <w:ilvl w:val="0"/>
          <w:numId w:val="25"/>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w:t>
      </w:r>
      <w:r>
        <w:rPr>
          <w:rFonts w:hint="eastAsia" w:ascii="宋体" w:hAnsi="宋体"/>
          <w:sz w:val="24"/>
          <w:highlight w:val="none"/>
          <w:lang w:val="en-US" w:eastAsia="zh-CN"/>
        </w:rPr>
        <w:t>日</w:t>
      </w:r>
      <w:r>
        <w:rPr>
          <w:rFonts w:hint="eastAsia" w:ascii="宋体" w:hAnsi="宋体"/>
          <w:sz w:val="24"/>
          <w:highlight w:val="none"/>
        </w:rPr>
        <w:t>；</w:t>
      </w:r>
    </w:p>
    <w:p>
      <w:pPr>
        <w:numPr>
          <w:ilvl w:val="0"/>
          <w:numId w:val="25"/>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25"/>
        </w:numPr>
        <w:spacing w:line="360" w:lineRule="auto"/>
        <w:rPr>
          <w:rFonts w:hint="eastAsia"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pStyle w:val="2"/>
        <w:spacing w:line="600" w:lineRule="auto"/>
        <w:rPr>
          <w:rFonts w:hint="eastAsia" w:ascii="宋体" w:hAnsi="宋体"/>
          <w:highlight w:val="none"/>
        </w:rPr>
      </w:pPr>
      <w:bookmarkStart w:id="163" w:name="_Toc12089"/>
      <w:bookmarkStart w:id="164" w:name="_Toc27959"/>
      <w:bookmarkStart w:id="165" w:name="_Toc19165"/>
      <w:bookmarkStart w:id="166" w:name="_Toc5049"/>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163"/>
      <w:bookmarkEnd w:id="164"/>
      <w:bookmarkEnd w:id="165"/>
      <w:bookmarkEnd w:id="166"/>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hint="eastAsia"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p>
    <w:p>
      <w:pPr>
        <w:pStyle w:val="2"/>
        <w:spacing w:line="600" w:lineRule="auto"/>
        <w:rPr>
          <w:rFonts w:hint="eastAsia" w:ascii="宋体" w:hAnsi="宋体"/>
          <w:highlight w:val="none"/>
        </w:rPr>
      </w:pPr>
      <w:bookmarkStart w:id="167" w:name="_Toc26172"/>
      <w:bookmarkStart w:id="168" w:name="_Toc5129"/>
      <w:bookmarkStart w:id="169" w:name="_Toc15689"/>
      <w:bookmarkStart w:id="170" w:name="_Toc28099"/>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bookmarkEnd w:id="167"/>
      <w:bookmarkEnd w:id="168"/>
      <w:bookmarkEnd w:id="169"/>
      <w:bookmarkEnd w:id="170"/>
    </w:p>
    <w:p>
      <w:pPr>
        <w:pStyle w:val="16"/>
        <w:spacing w:after="0" w:line="360" w:lineRule="auto"/>
        <w:ind w:left="0" w:leftChars="0" w:firstLine="420" w:firstLineChars="175"/>
        <w:rPr>
          <w:rFonts w:hint="eastAsia"/>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hint="eastAsia"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hint="eastAsia"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pStyle w:val="2"/>
        <w:spacing w:line="600" w:lineRule="auto"/>
        <w:rPr>
          <w:rFonts w:hint="eastAsia" w:ascii="宋体" w:hAnsi="宋体"/>
          <w:highlight w:val="none"/>
        </w:rPr>
      </w:pPr>
      <w:bookmarkStart w:id="171" w:name="_Toc25826"/>
      <w:bookmarkStart w:id="172" w:name="_Toc2379"/>
      <w:bookmarkStart w:id="173" w:name="_Toc20325"/>
      <w:bookmarkStart w:id="174" w:name="_Toc23946"/>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171"/>
      <w:bookmarkEnd w:id="172"/>
      <w:bookmarkEnd w:id="173"/>
      <w:bookmarkEnd w:id="174"/>
    </w:p>
    <w:p>
      <w:pPr>
        <w:spacing w:line="360" w:lineRule="auto"/>
        <w:ind w:firstLine="480"/>
        <w:rPr>
          <w:rFonts w:hint="eastAsia" w:ascii="宋体" w:hAnsi="宋体"/>
          <w:sz w:val="24"/>
          <w:highlight w:val="none"/>
        </w:rPr>
      </w:pPr>
      <w:r>
        <w:rPr>
          <w:rFonts w:hint="eastAsia" w:ascii="宋体" w:hAnsi="宋体"/>
          <w:sz w:val="24"/>
          <w:highlight w:val="none"/>
        </w:rPr>
        <w:t>实施本方案的费用，按CQM《管理体系认证收费管理规则》执行。</w:t>
      </w:r>
    </w:p>
    <w:p>
      <w:pPr>
        <w:pStyle w:val="2"/>
        <w:spacing w:line="600" w:lineRule="auto"/>
        <w:rPr>
          <w:rFonts w:hint="eastAsia"/>
          <w:highlight w:val="none"/>
        </w:rPr>
      </w:pPr>
      <w:bookmarkStart w:id="175" w:name="_Toc6700"/>
      <w:bookmarkStart w:id="176" w:name="_Toc31324"/>
      <w:bookmarkStart w:id="177" w:name="_Toc22659"/>
      <w:bookmarkStart w:id="178" w:name="_Toc3880"/>
      <w:r>
        <w:rPr>
          <w:rFonts w:hint="eastAsia"/>
          <w:highlight w:val="none"/>
        </w:rPr>
        <w:t>1</w:t>
      </w:r>
      <w:r>
        <w:rPr>
          <w:rFonts w:hint="eastAsia"/>
          <w:highlight w:val="none"/>
          <w:lang w:val="en-US" w:eastAsia="zh-CN"/>
        </w:rPr>
        <w:t>7</w:t>
      </w:r>
      <w:r>
        <w:rPr>
          <w:rFonts w:hint="eastAsia"/>
          <w:highlight w:val="none"/>
        </w:rPr>
        <w:t xml:space="preserve"> 公告</w:t>
      </w:r>
      <w:bookmarkEnd w:id="175"/>
      <w:bookmarkEnd w:id="176"/>
      <w:bookmarkEnd w:id="177"/>
      <w:bookmarkEnd w:id="178"/>
    </w:p>
    <w:p>
      <w:pPr>
        <w:spacing w:line="360" w:lineRule="auto"/>
        <w:ind w:firstLine="480"/>
        <w:rPr>
          <w:rFonts w:hint="eastAsia" w:ascii="宋体" w:hAnsi="宋体"/>
          <w:sz w:val="24"/>
          <w:highlight w:val="none"/>
        </w:rPr>
      </w:pPr>
      <w:r>
        <w:rPr>
          <w:rFonts w:hint="eastAsia" w:ascii="宋体" w:hAnsi="宋体"/>
          <w:sz w:val="24"/>
          <w:highlight w:val="none"/>
        </w:rPr>
        <w:t>对获得认证、暂停、恢复或撤销的认证客户，在CQM网站上公布。</w:t>
      </w:r>
    </w:p>
    <w:p>
      <w:pPr>
        <w:pStyle w:val="2"/>
        <w:spacing w:line="600" w:lineRule="auto"/>
        <w:rPr>
          <w:rFonts w:hint="eastAsia"/>
          <w:highlight w:val="none"/>
        </w:rPr>
      </w:pPr>
      <w:bookmarkStart w:id="179" w:name="_Toc25035"/>
      <w:bookmarkStart w:id="180" w:name="_Toc16460"/>
      <w:bookmarkStart w:id="181" w:name="_Toc17238"/>
      <w:bookmarkStart w:id="182" w:name="_Toc19101"/>
      <w:r>
        <w:rPr>
          <w:rFonts w:hint="eastAsia"/>
          <w:highlight w:val="none"/>
        </w:rPr>
        <w:t>1</w:t>
      </w:r>
      <w:r>
        <w:rPr>
          <w:rFonts w:hint="eastAsia"/>
          <w:highlight w:val="none"/>
          <w:lang w:val="en-US" w:eastAsia="zh-CN"/>
        </w:rPr>
        <w:t>8</w:t>
      </w:r>
      <w:r>
        <w:rPr>
          <w:rFonts w:hint="eastAsia"/>
          <w:highlight w:val="none"/>
        </w:rPr>
        <w:t xml:space="preserve"> 附则</w:t>
      </w:r>
      <w:bookmarkEnd w:id="179"/>
      <w:bookmarkEnd w:id="180"/>
      <w:bookmarkEnd w:id="181"/>
      <w:bookmarkEnd w:id="182"/>
    </w:p>
    <w:p>
      <w:pPr>
        <w:spacing w:line="360" w:lineRule="auto"/>
        <w:ind w:firstLine="480" w:firstLineChars="200"/>
        <w:rPr>
          <w:rFonts w:ascii="黑体" w:hAnsi="宋体" w:eastAsia="黑体"/>
          <w:szCs w:val="21"/>
          <w:highlight w:val="none"/>
        </w:rPr>
      </w:pPr>
      <w:r>
        <w:rPr>
          <w:rFonts w:hint="eastAsia" w:ascii="宋体" w:hAnsi="宋体"/>
          <w:sz w:val="24"/>
          <w:highlight w:val="none"/>
        </w:rPr>
        <w:t>本方案由方圆标志认证集团有限公司负责解释。</w:t>
      </w:r>
    </w:p>
    <w:bookmarkEnd w:id="185"/>
    <w:sectPr>
      <w:footerReference r:id="rId9" w:type="first"/>
      <w:footerReference r:id="rId8" w:type="default"/>
      <w:pgSz w:w="11906" w:h="16838"/>
      <w:pgMar w:top="856" w:right="1797" w:bottom="1440" w:left="1797" w:header="159" w:footer="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20B0600000000000000"/>
    <w:charset w:val="86"/>
    <w:family w:val="auto"/>
    <w:pitch w:val="default"/>
    <w:sig w:usb0="00000000" w:usb1="00000000" w:usb2="00000016" w:usb3="00000000" w:csb0="60060107" w:csb1="00000000"/>
  </w:font>
  <w:font w:name="仿宋_GB2312">
    <w:panose1 w:val="02010609030101010101"/>
    <w:charset w:val="86"/>
    <w:family w:val="modern"/>
    <w:pitch w:val="default"/>
    <w:sig w:usb0="00000001" w:usb1="080E0000" w:usb2="00000000" w:usb3="00000000" w:csb0="00040000" w:csb1="00000000"/>
  </w:font>
  <w:font w:name="方正姚体">
    <w:altName w:val="方正姚体_GBK"/>
    <w:panose1 w:val="02010601030101010101"/>
    <w:charset w:val="86"/>
    <w:family w:val="auto"/>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0"/>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通讯地址：</w:t>
          </w:r>
        </w:p>
        <w:p>
          <w:pPr>
            <w:pStyle w:val="13"/>
            <w:ind w:left="-108"/>
            <w:jc w:val="both"/>
          </w:pPr>
          <w:r>
            <w:rPr>
              <w:rFonts w:hint="eastAsia"/>
            </w:rPr>
            <w:t>电话：</w:t>
          </w:r>
        </w:p>
        <w:p>
          <w:pPr>
            <w:pStyle w:val="13"/>
            <w:ind w:left="-108"/>
            <w:jc w:val="both"/>
          </w:pPr>
          <w:r>
            <w:rPr>
              <w:rFonts w:hint="eastAsia"/>
            </w:rPr>
            <w:t>传真：</w:t>
          </w:r>
        </w:p>
        <w:p>
          <w:pPr>
            <w:pStyle w:val="13"/>
            <w:ind w:left="-108"/>
            <w:jc w:val="both"/>
          </w:pPr>
          <w:r>
            <w:rPr>
              <w:rFonts w:hint="eastAsia"/>
            </w:rPr>
            <w:t>网址：</w:t>
          </w:r>
        </w:p>
        <w:p>
          <w:pPr>
            <w:pStyle w:val="13"/>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北京市海淀区增光路33号</w:t>
          </w:r>
          <w:r>
            <w:t>(</w:t>
          </w:r>
          <w:r>
            <w:rPr>
              <w:rFonts w:hint="eastAsia"/>
            </w:rPr>
            <w:t>100048</w:t>
          </w:r>
          <w:r>
            <w:t>)</w:t>
          </w:r>
        </w:p>
        <w:p>
          <w:pPr>
            <w:pStyle w:val="13"/>
            <w:ind w:left="-108"/>
            <w:jc w:val="both"/>
          </w:pPr>
          <w:r>
            <w:rPr>
              <w:rFonts w:hint="eastAsia"/>
            </w:rPr>
            <w:t>（010）88411888（总机）</w:t>
          </w:r>
        </w:p>
        <w:p>
          <w:pPr>
            <w:pStyle w:val="13"/>
            <w:ind w:left="-108"/>
            <w:jc w:val="both"/>
          </w:pPr>
          <w:r>
            <w:rPr>
              <w:rFonts w:hint="eastAsia"/>
            </w:rPr>
            <w:t>（010）88414325</w:t>
          </w:r>
        </w:p>
        <w:p>
          <w:pPr>
            <w:pStyle w:val="13"/>
            <w:jc w:val="both"/>
          </w:pPr>
          <w:r>
            <w:t>http://</w:t>
          </w:r>
          <w:r>
            <w:rPr>
              <w:rFonts w:hint="eastAsia"/>
            </w:rPr>
            <w:t>www.</w:t>
          </w:r>
          <w:r>
            <w:t>cqm.</w:t>
          </w:r>
          <w:r>
            <w:rPr>
              <w:rFonts w:hint="eastAsia"/>
            </w:rPr>
            <w:t>com.</w:t>
          </w:r>
          <w:r>
            <w:t>cn/</w:t>
          </w:r>
        </w:p>
        <w:p>
          <w:pPr>
            <w:pStyle w:val="13"/>
            <w:jc w:val="both"/>
          </w:pPr>
          <w:r>
            <w:t>cqm@cqm.com.cn</w:t>
          </w:r>
        </w:p>
      </w:tc>
      <w:tc>
        <w:tcPr>
          <w:tcW w:w="1620" w:type="dxa"/>
          <w:tcBorders>
            <w:top w:val="thinThickSmallGap" w:color="002071" w:sz="18" w:space="0"/>
            <w:left w:val="nil"/>
            <w:bottom w:val="nil"/>
            <w:right w:val="nil"/>
          </w:tcBorders>
        </w:tcPr>
        <w:p>
          <w:pPr>
            <w:pStyle w:val="13"/>
            <w:jc w:val="both"/>
          </w:pPr>
        </w:p>
        <w:p>
          <w:pPr>
            <w:pStyle w:val="13"/>
            <w:jc w:val="both"/>
          </w:pPr>
          <w:r>
            <w:rPr>
              <w:rFonts w:hint="eastAsia"/>
            </w:rPr>
            <w:t xml:space="preserve">文件编号： </w:t>
          </w:r>
        </w:p>
        <w:p>
          <w:pPr>
            <w:pStyle w:val="13"/>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tcPr>
        <w:p>
          <w:pPr>
            <w:pStyle w:val="13"/>
            <w:jc w:val="both"/>
          </w:pPr>
        </w:p>
        <w:p>
          <w:pPr>
            <w:pStyle w:val="13"/>
            <w:jc w:val="both"/>
          </w:pPr>
          <w:r>
            <w:t>CQM/S-</w:t>
          </w:r>
          <w:r>
            <w:rPr>
              <w:rFonts w:hint="eastAsia"/>
            </w:rPr>
            <w:t>FN</w:t>
          </w:r>
          <w:r>
            <w:rPr>
              <w:rFonts w:hint="eastAsia"/>
              <w:lang w:val="en-US" w:eastAsia="zh-CN"/>
            </w:rPr>
            <w:t>-52-</w:t>
          </w:r>
          <w:r>
            <w:rPr>
              <w:rFonts w:hint="eastAsia"/>
            </w:rPr>
            <w:t>0</w:t>
          </w:r>
          <w:r>
            <w:rPr>
              <w:rFonts w:hint="eastAsia"/>
              <w:lang w:val="en-US" w:eastAsia="zh-CN"/>
            </w:rPr>
            <w:t>5</w:t>
          </w:r>
          <w:r>
            <w:rPr>
              <w:rFonts w:hint="eastAsia"/>
            </w:rPr>
            <w:t>1</w:t>
          </w:r>
        </w:p>
        <w:p>
          <w:pPr>
            <w:pStyle w:val="13"/>
            <w:jc w:val="both"/>
          </w:pPr>
          <w:r>
            <w:rPr>
              <w:rFonts w:hint="eastAsia"/>
            </w:rPr>
            <w:t>20</w:t>
          </w:r>
          <w:r>
            <w:rPr>
              <w:rFonts w:hint="eastAsia"/>
              <w:lang w:val="en-US" w:eastAsia="zh-CN"/>
            </w:rPr>
            <w:t>24</w:t>
          </w:r>
          <w:r>
            <w:rPr>
              <w:rFonts w:hint="eastAsia"/>
            </w:rPr>
            <w:t>年0</w:t>
          </w:r>
          <w:r>
            <w:rPr>
              <w:rFonts w:hint="eastAsia"/>
              <w:lang w:val="en-US" w:eastAsia="zh-CN"/>
            </w:rPr>
            <w:t>4</w:t>
          </w:r>
          <w:r>
            <w:rPr>
              <w:rFonts w:hint="eastAsia"/>
            </w:rPr>
            <w:t>月</w:t>
          </w:r>
          <w:r>
            <w:rPr>
              <w:rFonts w:hint="eastAsia"/>
              <w:lang w:val="en-US" w:eastAsia="zh-CN"/>
            </w:rPr>
            <w:t>29</w:t>
          </w:r>
          <w:r>
            <w:rPr>
              <w:rFonts w:hint="eastAsia"/>
            </w:rPr>
            <w:t>日</w:t>
          </w:r>
        </w:p>
        <w:p>
          <w:pPr>
            <w:pStyle w:val="13"/>
            <w:jc w:val="both"/>
            <w:rPr>
              <w:rFonts w:hint="eastAsia" w:eastAsia="宋体"/>
              <w:lang w:val="en-US" w:eastAsia="zh-CN"/>
            </w:rPr>
          </w:pPr>
          <w:r>
            <w:rPr>
              <w:rFonts w:hint="eastAsia"/>
              <w:lang w:val="en-US" w:eastAsia="zh-CN"/>
            </w:rPr>
            <w:t>/</w:t>
          </w:r>
        </w:p>
        <w:p>
          <w:pPr>
            <w:pStyle w:val="13"/>
            <w:jc w:val="both"/>
          </w:pPr>
          <w:r>
            <w:rPr>
              <w:rFonts w:hint="eastAsia"/>
            </w:rPr>
            <w:t>20</w:t>
          </w:r>
          <w:r>
            <w:rPr>
              <w:rFonts w:hint="eastAsia"/>
              <w:lang w:val="en-US" w:eastAsia="zh-CN"/>
            </w:rPr>
            <w:t>24</w:t>
          </w:r>
          <w:r>
            <w:rPr>
              <w:rFonts w:hint="eastAsia"/>
            </w:rPr>
            <w:t>年</w:t>
          </w:r>
          <w:r>
            <w:rPr>
              <w:rFonts w:hint="eastAsia"/>
              <w:lang w:val="en-US" w:eastAsia="zh-CN"/>
            </w:rPr>
            <w:t>04</w:t>
          </w:r>
          <w:r>
            <w:rPr>
              <w:rFonts w:hint="eastAsia"/>
            </w:rPr>
            <w:t>月</w:t>
          </w:r>
          <w:r>
            <w:rPr>
              <w:rFonts w:hint="eastAsia"/>
              <w:lang w:val="en-US" w:eastAsia="zh-CN"/>
            </w:rPr>
            <w:t>29</w:t>
          </w:r>
          <w:r>
            <w:rPr>
              <w:rFonts w:hint="eastAsia"/>
            </w:rPr>
            <w:t>日</w:t>
          </w:r>
        </w:p>
        <w:p>
          <w:pPr>
            <w:pStyle w:val="13"/>
            <w:jc w:val="both"/>
          </w:pPr>
          <w:r>
            <w:rPr>
              <w:rFonts w:hint="eastAsia"/>
            </w:rPr>
            <w:t xml:space="preserve">第 1 </w:t>
          </w:r>
          <w:r>
            <w:rPr>
              <w:rStyle w:val="22"/>
              <w:rFonts w:hint="eastAsia"/>
            </w:rPr>
            <w:t>页  共 20 页</w:t>
          </w:r>
        </w:p>
      </w:tc>
    </w:tr>
  </w:tbl>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0"/>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通讯地址：</w:t>
          </w:r>
        </w:p>
        <w:p>
          <w:pPr>
            <w:pStyle w:val="13"/>
            <w:ind w:left="-108"/>
            <w:jc w:val="both"/>
          </w:pPr>
          <w:r>
            <w:rPr>
              <w:rFonts w:hint="eastAsia"/>
            </w:rPr>
            <w:t>电话：</w:t>
          </w:r>
        </w:p>
        <w:p>
          <w:pPr>
            <w:pStyle w:val="13"/>
            <w:ind w:left="-108"/>
            <w:jc w:val="both"/>
          </w:pPr>
          <w:r>
            <w:rPr>
              <w:rFonts w:hint="eastAsia"/>
            </w:rPr>
            <w:t>传真：</w:t>
          </w:r>
        </w:p>
        <w:p>
          <w:pPr>
            <w:pStyle w:val="13"/>
            <w:ind w:left="-108"/>
            <w:jc w:val="both"/>
          </w:pPr>
          <w:r>
            <w:rPr>
              <w:rFonts w:hint="eastAsia"/>
            </w:rPr>
            <w:t>网址：</w:t>
          </w:r>
        </w:p>
        <w:p>
          <w:pPr>
            <w:pStyle w:val="13"/>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3"/>
            <w:ind w:left="-108"/>
            <w:jc w:val="both"/>
            <w:rPr>
              <w:sz w:val="13"/>
            </w:rPr>
          </w:pPr>
        </w:p>
        <w:p>
          <w:pPr>
            <w:pStyle w:val="13"/>
            <w:ind w:left="-108"/>
            <w:jc w:val="both"/>
          </w:pPr>
          <w:r>
            <w:rPr>
              <w:rFonts w:hint="eastAsia"/>
            </w:rPr>
            <w:t>北京市海淀区增光路33号</w:t>
          </w:r>
          <w:r>
            <w:t>(</w:t>
          </w:r>
          <w:r>
            <w:rPr>
              <w:rFonts w:hint="eastAsia"/>
            </w:rPr>
            <w:t>100048</w:t>
          </w:r>
          <w:r>
            <w:t>)</w:t>
          </w:r>
        </w:p>
        <w:p>
          <w:pPr>
            <w:pStyle w:val="13"/>
            <w:ind w:left="-108"/>
            <w:jc w:val="both"/>
          </w:pPr>
          <w:r>
            <w:rPr>
              <w:rFonts w:hint="eastAsia"/>
            </w:rPr>
            <w:t>（010）88411888（总机）</w:t>
          </w:r>
        </w:p>
        <w:p>
          <w:pPr>
            <w:pStyle w:val="13"/>
            <w:ind w:left="-108"/>
            <w:jc w:val="both"/>
          </w:pPr>
          <w:r>
            <w:rPr>
              <w:rFonts w:hint="eastAsia"/>
            </w:rPr>
            <w:t>（010）88414325</w:t>
          </w:r>
        </w:p>
        <w:p>
          <w:pPr>
            <w:pStyle w:val="13"/>
            <w:jc w:val="both"/>
          </w:pPr>
          <w:r>
            <w:t>http://</w:t>
          </w:r>
          <w:r>
            <w:rPr>
              <w:rFonts w:hint="eastAsia"/>
            </w:rPr>
            <w:t>www.</w:t>
          </w:r>
          <w:r>
            <w:t>cqm.</w:t>
          </w:r>
          <w:r>
            <w:rPr>
              <w:rFonts w:hint="eastAsia"/>
            </w:rPr>
            <w:t>com.</w:t>
          </w:r>
          <w:r>
            <w:t>cn/</w:t>
          </w:r>
        </w:p>
        <w:p>
          <w:pPr>
            <w:pStyle w:val="13"/>
            <w:jc w:val="both"/>
          </w:pPr>
          <w:r>
            <w:t>cqm@cqm.com.cn</w:t>
          </w:r>
        </w:p>
      </w:tc>
      <w:tc>
        <w:tcPr>
          <w:tcW w:w="1231" w:type="dxa"/>
          <w:tcBorders>
            <w:top w:val="thinThickSmallGap" w:color="002071" w:sz="18" w:space="0"/>
            <w:left w:val="nil"/>
            <w:bottom w:val="nil"/>
            <w:right w:val="nil"/>
          </w:tcBorders>
        </w:tcPr>
        <w:p>
          <w:pPr>
            <w:pStyle w:val="13"/>
            <w:jc w:val="both"/>
          </w:pPr>
        </w:p>
        <w:p>
          <w:pPr>
            <w:pStyle w:val="13"/>
            <w:jc w:val="both"/>
          </w:pPr>
          <w:r>
            <w:rPr>
              <w:rFonts w:hint="eastAsia"/>
            </w:rPr>
            <w:t xml:space="preserve">文件编号： </w:t>
          </w:r>
        </w:p>
        <w:p>
          <w:pPr>
            <w:pStyle w:val="13"/>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tcPr>
        <w:p>
          <w:pPr>
            <w:pStyle w:val="13"/>
            <w:jc w:val="both"/>
            <w:rPr>
              <w:color w:val="auto"/>
            </w:rPr>
          </w:pPr>
        </w:p>
        <w:p>
          <w:pPr>
            <w:pStyle w:val="13"/>
            <w:jc w:val="both"/>
            <w:rPr>
              <w:rFonts w:hint="default" w:eastAsia="宋体"/>
              <w:color w:val="auto"/>
              <w:lang w:val="en-US" w:eastAsia="zh-CN"/>
            </w:rPr>
          </w:pPr>
          <w:r>
            <w:rPr>
              <w:color w:val="auto"/>
            </w:rPr>
            <w:t>CQM/</w:t>
          </w:r>
          <w:r>
            <w:rPr>
              <w:rFonts w:hint="eastAsia"/>
              <w:color w:val="auto"/>
            </w:rPr>
            <w:t>S-FN-5</w:t>
          </w:r>
          <w:r>
            <w:rPr>
              <w:rFonts w:hint="eastAsia"/>
              <w:color w:val="auto"/>
              <w:lang w:val="en-US" w:eastAsia="zh-CN"/>
            </w:rPr>
            <w:t>2</w:t>
          </w:r>
          <w:r>
            <w:rPr>
              <w:rFonts w:hint="eastAsia"/>
              <w:color w:val="auto"/>
            </w:rPr>
            <w:t>-0</w:t>
          </w:r>
          <w:r>
            <w:rPr>
              <w:rFonts w:hint="eastAsia"/>
              <w:color w:val="auto"/>
              <w:lang w:val="en-US" w:eastAsia="zh-CN"/>
            </w:rPr>
            <w:t>51</w:t>
          </w:r>
        </w:p>
        <w:p>
          <w:pPr>
            <w:pStyle w:val="13"/>
            <w:jc w:val="both"/>
            <w:rPr>
              <w:color w:val="auto"/>
            </w:rPr>
          </w:pPr>
          <w:r>
            <w:rPr>
              <w:rFonts w:hint="eastAsia"/>
              <w:color w:val="auto"/>
            </w:rPr>
            <w:t>202</w:t>
          </w:r>
          <w:r>
            <w:rPr>
              <w:rFonts w:hint="eastAsia"/>
              <w:color w:val="auto"/>
              <w:lang w:val="en-US" w:eastAsia="zh-CN"/>
            </w:rPr>
            <w:t>4</w:t>
          </w:r>
          <w:r>
            <w:rPr>
              <w:rFonts w:hint="eastAsia"/>
              <w:color w:val="auto"/>
            </w:rPr>
            <w:t>年</w:t>
          </w:r>
          <w:r>
            <w:rPr>
              <w:rFonts w:hint="eastAsia"/>
              <w:color w:val="auto"/>
              <w:lang w:val="en-US" w:eastAsia="zh-CN"/>
            </w:rPr>
            <w:t>04</w:t>
          </w:r>
          <w:r>
            <w:rPr>
              <w:rFonts w:hint="eastAsia"/>
              <w:color w:val="auto"/>
            </w:rPr>
            <w:t>月</w:t>
          </w:r>
          <w:r>
            <w:rPr>
              <w:rFonts w:hint="eastAsia"/>
              <w:color w:val="auto"/>
              <w:lang w:val="en-US" w:eastAsia="zh-CN"/>
            </w:rPr>
            <w:t>29</w:t>
          </w:r>
          <w:r>
            <w:rPr>
              <w:rFonts w:hint="eastAsia"/>
              <w:color w:val="auto"/>
            </w:rPr>
            <w:t>日</w:t>
          </w:r>
        </w:p>
        <w:p>
          <w:pPr>
            <w:pStyle w:val="13"/>
            <w:jc w:val="both"/>
            <w:rPr>
              <w:rFonts w:hint="default" w:eastAsia="宋体"/>
              <w:color w:val="auto"/>
              <w:lang w:val="en-US" w:eastAsia="zh-CN"/>
            </w:rPr>
          </w:pPr>
          <w:r>
            <w:rPr>
              <w:rFonts w:hint="eastAsia"/>
              <w:color w:val="auto"/>
              <w:lang w:val="en-US" w:eastAsia="zh-CN"/>
            </w:rPr>
            <w:t>2025年06月10日</w:t>
          </w:r>
        </w:p>
        <w:p>
          <w:pPr>
            <w:pStyle w:val="13"/>
            <w:jc w:val="both"/>
            <w:rPr>
              <w:color w:val="auto"/>
            </w:rPr>
          </w:pPr>
          <w:r>
            <w:rPr>
              <w:rFonts w:hint="eastAsia"/>
              <w:color w:val="auto"/>
            </w:rPr>
            <w:t>202</w:t>
          </w:r>
          <w:r>
            <w:rPr>
              <w:rFonts w:hint="eastAsia"/>
              <w:color w:val="auto"/>
              <w:lang w:val="en-US" w:eastAsia="zh-CN"/>
            </w:rPr>
            <w:t>5</w:t>
          </w:r>
          <w:r>
            <w:rPr>
              <w:rFonts w:hint="eastAsia"/>
              <w:color w:val="auto"/>
            </w:rPr>
            <w:t>年</w:t>
          </w:r>
          <w:r>
            <w:rPr>
              <w:rFonts w:hint="eastAsia"/>
              <w:color w:val="auto"/>
              <w:lang w:val="en-US" w:eastAsia="zh-CN"/>
            </w:rPr>
            <w:t>06</w:t>
          </w:r>
          <w:r>
            <w:rPr>
              <w:rFonts w:hint="eastAsia"/>
              <w:color w:val="auto"/>
            </w:rPr>
            <w:t>月</w:t>
          </w:r>
          <w:r>
            <w:rPr>
              <w:rFonts w:hint="eastAsia"/>
              <w:color w:val="auto"/>
              <w:lang w:val="en-US" w:eastAsia="zh-CN"/>
            </w:rPr>
            <w:t>10</w:t>
          </w:r>
          <w:r>
            <w:rPr>
              <w:rFonts w:hint="eastAsia"/>
              <w:color w:val="auto"/>
            </w:rPr>
            <w:t>日</w:t>
          </w:r>
          <w:r>
            <w:rPr>
              <w:color w:val="auto"/>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3"/>
                                </w:pPr>
                                <w:r>
                                  <w:t xml:space="preserve">第 </w:t>
                                </w:r>
                                <w:r>
                                  <w:fldChar w:fldCharType="begin"/>
                                </w:r>
                                <w:r>
                                  <w:instrText xml:space="preserve"> PAGE  \* MERGEFORMAT </w:instrText>
                                </w:r>
                                <w:r>
                                  <w:fldChar w:fldCharType="separate"/>
                                </w:r>
                                <w:r>
                                  <w:t>3</w:t>
                                </w:r>
                                <w:r>
                                  <w:fldChar w:fldCharType="end"/>
                                </w:r>
                                <w:r>
                                  <w:t xml:space="preserve"> 页</w:t>
                                </w:r>
                                <w:r>
                                  <w:rPr>
                                    <w:rFonts w:hint="eastAsia"/>
                                  </w:rPr>
                                  <w:t xml:space="preserve"> </w:t>
                                </w:r>
                                <w:r>
                                  <w:t>共</w:t>
                                </w:r>
                                <w:r>
                                  <w:rPr>
                                    <w:rFonts w:hint="eastAsia"/>
                                  </w:rPr>
                                  <w:t xml:space="preserve"> </w:t>
                                </w:r>
                                <w:r>
                                  <w:rPr>
                                    <w:rFonts w:hint="eastAsia"/>
                                    <w:lang w:val="en-US" w:eastAsia="zh-CN"/>
                                  </w:rPr>
                                  <w:t>21</w:t>
                                </w:r>
                                <w:r>
                                  <w:rPr>
                                    <w:rFonts w:hint="eastAsia"/>
                                  </w:rPr>
                                  <w:t xml:space="preserve"> 页</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 xml:space="preserve"> 页</w:t>
                                </w:r>
                              </w:p>
                            </w:txbxContent>
                          </wps:txbx>
                          <wps:bodyPr lIns="0" tIns="0" rIns="0" bIns="0"/>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nHLvKdQAAAAGAQAADwAAAAAAAAABACAAAAA4AAAAZHJzL2Rvd25yZXYueG1s&#10;UEsBAhQAFAAAAAgAh07iQBo/XXetAQAAOQMAAA4AAAAAAAAAAQAgAAAAOQEAAGRycy9lMm9Eb2Mu&#10;eG1sUEsFBgAAAAAGAAYAWQEAAFgFAAAAAA==&#10;">
                    <v:fill on="f" focussize="0,0"/>
                    <v:stroke on="f"/>
                    <v:imagedata o:title=""/>
                    <o:lock v:ext="edit" aspectratio="f"/>
                    <v:textbox inset="0mm,0mm,0mm,0mm">
                      <w:txbxContent>
                        <w:p>
                          <w:pPr>
                            <w:pStyle w:val="13"/>
                          </w:pPr>
                          <w:r>
                            <w:t xml:space="preserve">第 </w:t>
                          </w:r>
                          <w:r>
                            <w:fldChar w:fldCharType="begin"/>
                          </w:r>
                          <w:r>
                            <w:instrText xml:space="preserve"> PAGE  \* MERGEFORMAT </w:instrText>
                          </w:r>
                          <w:r>
                            <w:fldChar w:fldCharType="separate"/>
                          </w:r>
                          <w:r>
                            <w:t>3</w:t>
                          </w:r>
                          <w:r>
                            <w:fldChar w:fldCharType="end"/>
                          </w:r>
                          <w:r>
                            <w:t xml:space="preserve"> 页</w:t>
                          </w:r>
                          <w:r>
                            <w:rPr>
                              <w:rFonts w:hint="eastAsia"/>
                            </w:rPr>
                            <w:t xml:space="preserve"> </w:t>
                          </w:r>
                          <w:r>
                            <w:t>共</w:t>
                          </w:r>
                          <w:r>
                            <w:rPr>
                              <w:rFonts w:hint="eastAsia"/>
                            </w:rPr>
                            <w:t xml:space="preserve"> </w:t>
                          </w:r>
                          <w:r>
                            <w:rPr>
                              <w:rFonts w:hint="eastAsia"/>
                              <w:lang w:val="en-US" w:eastAsia="zh-CN"/>
                            </w:rPr>
                            <w:t>21</w:t>
                          </w:r>
                          <w:r>
                            <w:rPr>
                              <w:rFonts w:hint="eastAsia"/>
                            </w:rPr>
                            <w:t xml:space="preserve"> 页</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t xml:space="preserve"> 页</w:t>
                          </w:r>
                        </w:p>
                      </w:txbxContent>
                    </v:textbox>
                    <w10:wrap type="through"/>
                  </v:shape>
                </w:pict>
              </mc:Fallback>
            </mc:AlternateContent>
          </w:r>
        </w:p>
      </w:tc>
    </w:tr>
  </w:tbl>
  <w:p/>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2</w:t>
                          </w:r>
                          <w:r>
                            <w:fldChar w:fldCharType="end"/>
                          </w:r>
                        </w:p>
                      </w:txbxContent>
                    </wps:txbx>
                    <wps:bodyPr wrap="none" lIns="0" tIns="0" rIns="0" bIns="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zql5uc8AAAAFAQAADwAAAAAAAAABACAAAAA4AAAAZHJzL2Rvd25yZXYueG1sUEsBAhQAFAAA&#10;AAgAh07iQK353+mpAQAAQwMAAA4AAAAAAAAAAQAgAAAANAEAAGRycy9lMm9Eb2MueG1sUEsFBgAA&#10;AAAGAAYAWQEAAE8FA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0"/>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4"/>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7560310" cy="10692765"/>
          <wp:effectExtent l="0" t="0" r="2540" b="13335"/>
          <wp:wrapNone/>
          <wp:docPr id="3"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jc w:val="both"/>
    </w:pPr>
    <w:r>
      <w:drawing>
        <wp:anchor distT="0" distB="0" distL="114300" distR="114300" simplePos="0" relativeHeight="251660288" behindDoc="1" locked="0" layoutInCell="0" allowOverlap="1">
          <wp:simplePos x="0" y="0"/>
          <wp:positionH relativeFrom="margin">
            <wp:posOffset>-1028700</wp:posOffset>
          </wp:positionH>
          <wp:positionV relativeFrom="margin">
            <wp:posOffset>-594360</wp:posOffset>
          </wp:positionV>
          <wp:extent cx="7560310" cy="10692765"/>
          <wp:effectExtent l="0" t="0" r="2540" b="13335"/>
          <wp:wrapNone/>
          <wp:docPr id="2"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3">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4">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5">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6">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7">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9">
    <w:nsid w:val="373F2C40"/>
    <w:multiLevelType w:val="multilevel"/>
    <w:tmpl w:val="373F2C40"/>
    <w:lvl w:ilvl="0" w:tentative="0">
      <w:start w:val="1"/>
      <w:numFmt w:val="lowerLetter"/>
      <w:lvlText w:val="%1)"/>
      <w:lvlJc w:val="left"/>
      <w:pPr>
        <w:ind w:left="42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0">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decimal"/>
      <w:lvlText w:val="（%3）"/>
      <w:lvlJc w:val="left"/>
      <w:pPr>
        <w:ind w:left="2040" w:hanging="720"/>
      </w:pPr>
      <w:rPr>
        <w:rFonts w:hint="default"/>
      </w:r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2">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3">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4">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5">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6">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17">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8">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9">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0">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1">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2">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23">
    <w:nsid w:val="79057DE9"/>
    <w:multiLevelType w:val="multilevel"/>
    <w:tmpl w:val="79057DE9"/>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4">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9"/>
  </w:num>
  <w:num w:numId="2">
    <w:abstractNumId w:val="7"/>
  </w:num>
  <w:num w:numId="3">
    <w:abstractNumId w:val="0"/>
  </w:num>
  <w:num w:numId="4">
    <w:abstractNumId w:val="16"/>
  </w:num>
  <w:num w:numId="5">
    <w:abstractNumId w:val="13"/>
  </w:num>
  <w:num w:numId="6">
    <w:abstractNumId w:val="18"/>
  </w:num>
  <w:num w:numId="7">
    <w:abstractNumId w:val="17"/>
  </w:num>
  <w:num w:numId="8">
    <w:abstractNumId w:val="21"/>
  </w:num>
  <w:num w:numId="9">
    <w:abstractNumId w:val="15"/>
  </w:num>
  <w:num w:numId="10">
    <w:abstractNumId w:val="5"/>
  </w:num>
  <w:num w:numId="11">
    <w:abstractNumId w:val="2"/>
  </w:num>
  <w:num w:numId="12">
    <w:abstractNumId w:val="22"/>
  </w:num>
  <w:num w:numId="13">
    <w:abstractNumId w:val="12"/>
  </w:num>
  <w:num w:numId="14">
    <w:abstractNumId w:val="6"/>
  </w:num>
  <w:num w:numId="15">
    <w:abstractNumId w:val="1"/>
  </w:num>
  <w:num w:numId="16">
    <w:abstractNumId w:val="20"/>
  </w:num>
  <w:num w:numId="17">
    <w:abstractNumId w:val="4"/>
  </w:num>
  <w:num w:numId="18">
    <w:abstractNumId w:val="19"/>
  </w:num>
  <w:num w:numId="19">
    <w:abstractNumId w:val="10"/>
  </w:num>
  <w:num w:numId="20">
    <w:abstractNumId w:val="3"/>
  </w:num>
  <w:num w:numId="21">
    <w:abstractNumId w:val="23"/>
  </w:num>
  <w:num w:numId="22">
    <w:abstractNumId w:val="8"/>
  </w:num>
  <w:num w:numId="23">
    <w:abstractNumId w:val="24"/>
  </w:num>
  <w:num w:numId="24">
    <w:abstractNumId w:val="1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2f51b09f-fea5-499f-bb3e-aee1ee6db86b"/>
  </w:docVars>
  <w:rsids>
    <w:rsidRoot w:val="007A6EDA"/>
    <w:rsid w:val="00044602"/>
    <w:rsid w:val="000813AC"/>
    <w:rsid w:val="000843E4"/>
    <w:rsid w:val="00091D8F"/>
    <w:rsid w:val="000F081B"/>
    <w:rsid w:val="0018025A"/>
    <w:rsid w:val="001A62E2"/>
    <w:rsid w:val="001C7BB5"/>
    <w:rsid w:val="001D24FB"/>
    <w:rsid w:val="001E3801"/>
    <w:rsid w:val="00221B55"/>
    <w:rsid w:val="002369E6"/>
    <w:rsid w:val="00240511"/>
    <w:rsid w:val="00254C0B"/>
    <w:rsid w:val="00315F19"/>
    <w:rsid w:val="00353EDE"/>
    <w:rsid w:val="003D5191"/>
    <w:rsid w:val="003F010E"/>
    <w:rsid w:val="004061E4"/>
    <w:rsid w:val="004706B5"/>
    <w:rsid w:val="005B11A1"/>
    <w:rsid w:val="005D5339"/>
    <w:rsid w:val="0063209A"/>
    <w:rsid w:val="007A6EDA"/>
    <w:rsid w:val="008E6599"/>
    <w:rsid w:val="009648F4"/>
    <w:rsid w:val="009B310F"/>
    <w:rsid w:val="009D0EA3"/>
    <w:rsid w:val="009F5BB3"/>
    <w:rsid w:val="00A275FB"/>
    <w:rsid w:val="00AA2667"/>
    <w:rsid w:val="00AB258F"/>
    <w:rsid w:val="00AD5E9E"/>
    <w:rsid w:val="00B258A2"/>
    <w:rsid w:val="00BC1643"/>
    <w:rsid w:val="00D20F8E"/>
    <w:rsid w:val="00D22FFA"/>
    <w:rsid w:val="00D45ABA"/>
    <w:rsid w:val="00E25207"/>
    <w:rsid w:val="00E8061B"/>
    <w:rsid w:val="00EB77CA"/>
    <w:rsid w:val="00EF54AD"/>
    <w:rsid w:val="00F3244F"/>
    <w:rsid w:val="00FA2F03"/>
    <w:rsid w:val="013B4944"/>
    <w:rsid w:val="04871DFB"/>
    <w:rsid w:val="066E2140"/>
    <w:rsid w:val="06893AAA"/>
    <w:rsid w:val="07530A47"/>
    <w:rsid w:val="078C29F9"/>
    <w:rsid w:val="0A701D39"/>
    <w:rsid w:val="0AB65C89"/>
    <w:rsid w:val="0AEA0988"/>
    <w:rsid w:val="0C0C1DAF"/>
    <w:rsid w:val="0CB664E7"/>
    <w:rsid w:val="0CCF502B"/>
    <w:rsid w:val="0FBA27BE"/>
    <w:rsid w:val="111A440D"/>
    <w:rsid w:val="11456BE0"/>
    <w:rsid w:val="120C3966"/>
    <w:rsid w:val="1CF301C8"/>
    <w:rsid w:val="1F1E48D5"/>
    <w:rsid w:val="1F751745"/>
    <w:rsid w:val="20E95D13"/>
    <w:rsid w:val="211F01E5"/>
    <w:rsid w:val="22C82189"/>
    <w:rsid w:val="256064CA"/>
    <w:rsid w:val="28810F26"/>
    <w:rsid w:val="28AA3C54"/>
    <w:rsid w:val="2AEF03C9"/>
    <w:rsid w:val="32F26CA9"/>
    <w:rsid w:val="34070D19"/>
    <w:rsid w:val="37AE6832"/>
    <w:rsid w:val="3A612966"/>
    <w:rsid w:val="3F14070B"/>
    <w:rsid w:val="402E7240"/>
    <w:rsid w:val="41FF7556"/>
    <w:rsid w:val="44314A28"/>
    <w:rsid w:val="44735770"/>
    <w:rsid w:val="45287BCB"/>
    <w:rsid w:val="47DD2DEF"/>
    <w:rsid w:val="47FA425C"/>
    <w:rsid w:val="4C760506"/>
    <w:rsid w:val="4D5C548E"/>
    <w:rsid w:val="50E56BC4"/>
    <w:rsid w:val="541E1033"/>
    <w:rsid w:val="55585F4A"/>
    <w:rsid w:val="57454D4A"/>
    <w:rsid w:val="58DB48FD"/>
    <w:rsid w:val="5B567260"/>
    <w:rsid w:val="5BF33F54"/>
    <w:rsid w:val="5C0A0C51"/>
    <w:rsid w:val="5DB54B73"/>
    <w:rsid w:val="5EF4302F"/>
    <w:rsid w:val="5F473629"/>
    <w:rsid w:val="61095CDB"/>
    <w:rsid w:val="61C63990"/>
    <w:rsid w:val="63514A76"/>
    <w:rsid w:val="677B170F"/>
    <w:rsid w:val="682B65E9"/>
    <w:rsid w:val="6B105E4B"/>
    <w:rsid w:val="6B370432"/>
    <w:rsid w:val="6BF82D5E"/>
    <w:rsid w:val="6C050097"/>
    <w:rsid w:val="6E7612DD"/>
    <w:rsid w:val="706F478E"/>
    <w:rsid w:val="71E33260"/>
    <w:rsid w:val="74B4085B"/>
    <w:rsid w:val="76C447BE"/>
    <w:rsid w:val="78210102"/>
    <w:rsid w:val="7BBBFC5C"/>
    <w:rsid w:val="7BEB5610"/>
    <w:rsid w:val="7CB774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annotation text"/>
    <w:basedOn w:val="1"/>
    <w:semiHidden/>
    <w:qFormat/>
    <w:uiPriority w:val="0"/>
    <w:pPr>
      <w:jc w:val="left"/>
    </w:pPr>
  </w:style>
  <w:style w:type="paragraph" w:styleId="8">
    <w:name w:val="Body Text"/>
    <w:basedOn w:val="1"/>
    <w:qFormat/>
    <w:uiPriority w:val="0"/>
    <w:pPr>
      <w:spacing w:after="120"/>
    </w:pPr>
  </w:style>
  <w:style w:type="paragraph" w:styleId="9">
    <w:name w:val="Body Text Indent"/>
    <w:basedOn w:val="1"/>
    <w:qFormat/>
    <w:uiPriority w:val="0"/>
    <w:pPr>
      <w:widowControl/>
      <w:ind w:firstLine="560" w:firstLineChars="200"/>
      <w:jc w:val="left"/>
    </w:pPr>
    <w:rPr>
      <w:rFonts w:ascii="宋体" w:hAnsi="宋体"/>
      <w:color w:val="000000"/>
      <w:sz w:val="28"/>
      <w:szCs w:val="33"/>
    </w:rPr>
  </w:style>
  <w:style w:type="paragraph" w:styleId="10">
    <w:name w:val="List 2"/>
    <w:basedOn w:val="1"/>
    <w:qFormat/>
    <w:uiPriority w:val="0"/>
    <w:pPr>
      <w:ind w:left="100" w:leftChars="200" w:hanging="200" w:hangingChars="200"/>
    </w:p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5"/>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76" w:lineRule="auto"/>
      <w:jc w:val="left"/>
    </w:pPr>
    <w:rPr>
      <w:rFonts w:ascii="Calibri" w:hAnsi="Calibri"/>
      <w:kern w:val="0"/>
      <w:sz w:val="22"/>
      <w:szCs w:val="22"/>
    </w:rPr>
  </w:style>
  <w:style w:type="paragraph" w:styleId="16">
    <w:name w:val="Body Text Indent 3"/>
    <w:basedOn w:val="1"/>
    <w:qFormat/>
    <w:uiPriority w:val="0"/>
    <w:pPr>
      <w:spacing w:after="120"/>
      <w:ind w:left="420" w:leftChars="200"/>
    </w:pPr>
    <w:rPr>
      <w:sz w:val="16"/>
      <w:szCs w:val="16"/>
    </w:rPr>
  </w:style>
  <w:style w:type="paragraph" w:styleId="17">
    <w:name w:val="toc 2"/>
    <w:basedOn w:val="1"/>
    <w:next w:val="1"/>
    <w:unhideWhenUsed/>
    <w:qFormat/>
    <w:uiPriority w:val="39"/>
    <w:pPr>
      <w:widowControl/>
      <w:spacing w:after="100" w:line="276" w:lineRule="auto"/>
      <w:ind w:left="220"/>
      <w:jc w:val="left"/>
    </w:pPr>
    <w:rPr>
      <w:rFonts w:ascii="Calibri" w:hAnsi="Calibri"/>
      <w:kern w:val="0"/>
      <w:sz w:val="22"/>
      <w:szCs w:val="22"/>
    </w:rPr>
  </w:style>
  <w:style w:type="paragraph" w:styleId="18">
    <w:name w:val="Body Text 2"/>
    <w:basedOn w:val="1"/>
    <w:qFormat/>
    <w:uiPriority w:val="0"/>
    <w:pPr>
      <w:spacing w:after="120" w:line="480" w:lineRule="auto"/>
    </w:pPr>
  </w:style>
  <w:style w:type="paragraph" w:styleId="19">
    <w:name w:val="Title"/>
    <w:basedOn w:val="1"/>
    <w:next w:val="1"/>
    <w:qFormat/>
    <w:uiPriority w:val="0"/>
    <w:pPr>
      <w:spacing w:before="240" w:after="60"/>
      <w:jc w:val="center"/>
      <w:outlineLvl w:val="0"/>
    </w:pPr>
    <w:rPr>
      <w:rFonts w:ascii="Cambria" w:hAnsi="Cambria"/>
      <w:b/>
      <w:bCs/>
      <w:sz w:val="32"/>
      <w:szCs w:val="32"/>
    </w:rPr>
  </w:style>
  <w:style w:type="character" w:styleId="22">
    <w:name w:val="page number"/>
    <w:basedOn w:val="21"/>
    <w:qFormat/>
    <w:uiPriority w:val="0"/>
  </w:style>
  <w:style w:type="character" w:styleId="23">
    <w:name w:val="Hyperlink"/>
    <w:basedOn w:val="21"/>
    <w:qFormat/>
    <w:uiPriority w:val="0"/>
    <w:rPr>
      <w:color w:val="0000FF"/>
      <w:u w:val="single"/>
    </w:rPr>
  </w:style>
  <w:style w:type="character" w:styleId="24">
    <w:name w:val="annotation reference"/>
    <w:qFormat/>
    <w:uiPriority w:val="0"/>
    <w:rPr>
      <w:sz w:val="21"/>
      <w:szCs w:val="21"/>
    </w:rPr>
  </w:style>
  <w:style w:type="character" w:customStyle="1" w:styleId="25">
    <w:name w:val="批注框文本 Char"/>
    <w:basedOn w:val="21"/>
    <w:link w:val="12"/>
    <w:qFormat/>
    <w:uiPriority w:val="0"/>
    <w:rPr>
      <w:kern w:val="2"/>
      <w:sz w:val="18"/>
      <w:szCs w:val="18"/>
    </w:rPr>
  </w:style>
  <w:style w:type="paragraph" w:customStyle="1" w:styleId="26">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7">
    <w:name w:val="二级条标题"/>
    <w:basedOn w:val="28"/>
    <w:next w:val="1"/>
    <w:qFormat/>
    <w:uiPriority w:val="0"/>
    <w:pPr>
      <w:outlineLvl w:val="3"/>
    </w:pPr>
  </w:style>
  <w:style w:type="paragraph" w:customStyle="1" w:styleId="28">
    <w:name w:val="一级条标题"/>
    <w:next w:val="29"/>
    <w:qFormat/>
    <w:uiPriority w:val="0"/>
    <w:pPr>
      <w:outlineLvl w:val="2"/>
    </w:pPr>
    <w:rPr>
      <w:rFonts w:ascii="Times New Roman" w:hAnsi="Times New Roman" w:eastAsia="黑体" w:cs="Times New Roman"/>
      <w:sz w:val="21"/>
      <w:lang w:val="en-US" w:eastAsia="zh-CN" w:bidi="ar-SA"/>
    </w:rPr>
  </w:style>
  <w:style w:type="paragraph" w:customStyle="1" w:styleId="29">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 w:type="paragraph" w:customStyle="1" w:styleId="30">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wmf"/><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22</Pages>
  <Words>12163</Words>
  <Characters>12833</Characters>
  <Lines>86</Lines>
  <Paragraphs>24</Paragraphs>
  <TotalTime>2</TotalTime>
  <ScaleCrop>false</ScaleCrop>
  <LinksUpToDate>false</LinksUpToDate>
  <CharactersWithSpaces>13035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2025-09-11T12:11:32Z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F9A70A02F2444EB6A6DF1CD8BF2594C6_13</vt:lpwstr>
  </property>
</Properties>
</file>