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264"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168275</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4"/>
                              <w:spacing w:before="0" w:after="0"/>
                              <w:rPr>
                                <w:rFonts w:hint="eastAsia" w:ascii="黑体" w:hAnsi="Times New Roman" w:eastAsia="黑体" w:cs="Times New Roman"/>
                                <w:b w:val="0"/>
                                <w:bCs w:val="0"/>
                                <w:color w:val="002071"/>
                                <w:kern w:val="2"/>
                                <w:sz w:val="52"/>
                                <w:szCs w:val="52"/>
                                <w:lang w:val="en-US" w:eastAsia="zh-CN" w:bidi="ar-SA"/>
                              </w:rPr>
                            </w:pPr>
                            <w:bookmarkStart w:id="262" w:name="_Toc440007486"/>
                            <w:bookmarkStart w:id="263" w:name="_Toc444776325"/>
                            <w:r>
                              <w:rPr>
                                <w:rFonts w:hint="eastAsia" w:ascii="黑体" w:hAnsi="Times New Roman" w:eastAsia="黑体" w:cs="Times New Roman"/>
                                <w:b w:val="0"/>
                                <w:bCs w:val="0"/>
                                <w:color w:val="002071"/>
                                <w:kern w:val="2"/>
                                <w:sz w:val="52"/>
                                <w:szCs w:val="52"/>
                                <w:lang w:val="en-US" w:eastAsia="zh-CN" w:bidi="ar-SA"/>
                              </w:rPr>
                              <w:t>质量、环境、职业健康安全管理体系认证实施方案</w:t>
                            </w:r>
                            <w:bookmarkEnd w:id="262"/>
                            <w:bookmarkEnd w:id="263"/>
                          </w:p>
                          <w:p>
                            <w:pPr>
                              <w:pStyle w:val="4"/>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13.25pt;height:128.5pt;width:403.8pt;z-index:251660288;mso-width-relative:page;mso-height-relative:page;" filled="f" stroked="f" coordsize="21600,21600" o:gfxdata="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C5QfgX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4"/>
                        <w:spacing w:before="0" w:after="0"/>
                        <w:rPr>
                          <w:rFonts w:hint="eastAsia" w:ascii="黑体" w:hAnsi="Times New Roman" w:eastAsia="黑体" w:cs="Times New Roman"/>
                          <w:b w:val="0"/>
                          <w:bCs w:val="0"/>
                          <w:color w:val="002071"/>
                          <w:kern w:val="2"/>
                          <w:sz w:val="52"/>
                          <w:szCs w:val="52"/>
                          <w:lang w:val="en-US" w:eastAsia="zh-CN" w:bidi="ar-SA"/>
                        </w:rPr>
                      </w:pPr>
                      <w:bookmarkStart w:id="262" w:name="_Toc440007486"/>
                      <w:bookmarkStart w:id="263" w:name="_Toc444776325"/>
                      <w:r>
                        <w:rPr>
                          <w:rFonts w:hint="eastAsia" w:ascii="黑体" w:hAnsi="Times New Roman" w:eastAsia="黑体" w:cs="Times New Roman"/>
                          <w:b w:val="0"/>
                          <w:bCs w:val="0"/>
                          <w:color w:val="002071"/>
                          <w:kern w:val="2"/>
                          <w:sz w:val="52"/>
                          <w:szCs w:val="52"/>
                          <w:lang w:val="en-US" w:eastAsia="zh-CN" w:bidi="ar-SA"/>
                        </w:rPr>
                        <w:t>质量、环境、职业健康安全管理体系认证实施方案</w:t>
                      </w:r>
                      <w:bookmarkEnd w:id="262"/>
                      <w:bookmarkEnd w:id="263"/>
                    </w:p>
                    <w:p>
                      <w:pPr>
                        <w:pStyle w:val="4"/>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5"/>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CQM/S-FN-00-001</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2016年01月01日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月1</w:t>
            </w:r>
            <w:r>
              <w:rPr>
                <w:rFonts w:hint="eastAsia" w:ascii="隶书" w:hAnsi="思源黑体 CN Medium" w:eastAsia="隶书" w:cs="思源黑体 CN Medium"/>
                <w:color w:val="002071"/>
                <w:sz w:val="28"/>
                <w:szCs w:val="15"/>
                <w:highlight w:val="none"/>
                <w:lang w:val="en-US" w:eastAsia="zh-CN"/>
              </w:rPr>
              <w:t>3</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rPr>
          <w:rFonts w:ascii="宋体" w:hAnsi="宋体"/>
          <w:sz w:val="24"/>
          <w:highlight w:val="none"/>
        </w:rPr>
      </w:pPr>
    </w:p>
    <w:p>
      <w:pPr>
        <w:spacing w:line="360" w:lineRule="auto"/>
        <w:rPr>
          <w:rFonts w:hint="eastAsia" w:ascii="黑体" w:hAnsi="宋体" w:eastAsia="黑体"/>
          <w:szCs w:val="21"/>
          <w:highlight w:val="none"/>
        </w:rPr>
      </w:pPr>
      <w:r>
        <w:rPr>
          <w:highlight w:val="none"/>
        </w:rPr>
        <w:t xml:space="preserve"> </w:t>
      </w:r>
      <w:r>
        <w:rPr>
          <w:rFonts w:hint="eastAsia" w:ascii="黑体" w:hAnsi="宋体" w:eastAsia="黑体"/>
          <w:szCs w:val="21"/>
          <w:highlight w:val="none"/>
        </w:rPr>
        <w:t xml:space="preserve">                              </w:t>
      </w:r>
    </w:p>
    <w:p>
      <w:pPr>
        <w:ind w:firstLine="602" w:firstLineChars="200"/>
        <w:jc w:val="center"/>
        <w:rPr>
          <w:b/>
          <w:bCs/>
          <w:sz w:val="30"/>
          <w:highlight w:val="none"/>
        </w:rPr>
      </w:pPr>
      <w:r>
        <w:rPr>
          <w:rFonts w:hint="eastAsia"/>
          <w:b/>
          <w:bCs/>
          <w:sz w:val="30"/>
          <w:highlight w:val="none"/>
        </w:rPr>
        <w:t>目    录</w:t>
      </w:r>
    </w:p>
    <w:p>
      <w:pPr>
        <w:pStyle w:val="11"/>
        <w:tabs>
          <w:tab w:val="right" w:leader="dot" w:pos="8312"/>
        </w:tabs>
        <w:rPr>
          <w:highlight w:val="none"/>
        </w:rPr>
      </w:pPr>
      <w:r>
        <w:rPr>
          <w:rFonts w:hint="eastAsia" w:ascii="宋体" w:hAnsi="宋体" w:eastAsia="宋体" w:cs="宋体"/>
          <w:sz w:val="22"/>
          <w:szCs w:val="22"/>
          <w:highlight w:val="none"/>
        </w:rPr>
        <w:fldChar w:fldCharType="begin"/>
      </w:r>
      <w:r>
        <w:rPr>
          <w:rFonts w:hint="eastAsia" w:ascii="宋体" w:hAnsi="宋体" w:eastAsia="宋体" w:cs="宋体"/>
          <w:sz w:val="22"/>
          <w:szCs w:val="22"/>
          <w:highlight w:val="none"/>
        </w:rPr>
        <w:instrText xml:space="preserve">TOC \o "1-1" \h \u </w:instrText>
      </w:r>
      <w:r>
        <w:rPr>
          <w:rFonts w:hint="eastAsia" w:ascii="宋体" w:hAnsi="宋体" w:eastAsia="宋体" w:cs="宋体"/>
          <w:sz w:val="22"/>
          <w:szCs w:val="22"/>
          <w:highlight w:val="none"/>
        </w:rPr>
        <w:fldChar w:fldCharType="separate"/>
      </w: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_Toc14212 </w:instrText>
      </w:r>
      <w:r>
        <w:rPr>
          <w:rFonts w:hint="eastAsia" w:ascii="宋体" w:hAnsi="宋体" w:eastAsia="宋体" w:cs="宋体"/>
          <w:szCs w:val="22"/>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_Toc14212 \h </w:instrText>
      </w:r>
      <w:r>
        <w:rPr>
          <w:highlight w:val="none"/>
        </w:rPr>
        <w:fldChar w:fldCharType="separate"/>
      </w:r>
      <w:r>
        <w:rPr>
          <w:highlight w:val="none"/>
        </w:rPr>
        <w:t>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_Toc6891 </w:instrText>
      </w:r>
      <w:r>
        <w:rPr>
          <w:rFonts w:hint="eastAsia" w:ascii="宋体" w:hAnsi="宋体" w:eastAsia="宋体" w:cs="宋体"/>
          <w:szCs w:val="22"/>
          <w:highlight w:val="none"/>
        </w:rPr>
        <w:fldChar w:fldCharType="separate"/>
      </w:r>
      <w:r>
        <w:rPr>
          <w:rFonts w:hint="eastAsia"/>
          <w:highlight w:val="none"/>
        </w:rPr>
        <w:t>2 认证模式</w:t>
      </w:r>
      <w:r>
        <w:rPr>
          <w:highlight w:val="none"/>
        </w:rPr>
        <w:tab/>
      </w:r>
      <w:r>
        <w:rPr>
          <w:highlight w:val="none"/>
        </w:rPr>
        <w:fldChar w:fldCharType="begin"/>
      </w:r>
      <w:r>
        <w:rPr>
          <w:highlight w:val="none"/>
        </w:rPr>
        <w:instrText xml:space="preserve"> PAGEREF _Toc6891 \h </w:instrText>
      </w:r>
      <w:r>
        <w:rPr>
          <w:highlight w:val="none"/>
        </w:rPr>
        <w:fldChar w:fldCharType="separate"/>
      </w:r>
      <w:r>
        <w:rPr>
          <w:highlight w:val="none"/>
        </w:rPr>
        <w:t>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_Toc24308 </w:instrText>
      </w:r>
      <w:r>
        <w:rPr>
          <w:rFonts w:hint="eastAsia" w:ascii="宋体" w:hAnsi="宋体" w:eastAsia="宋体" w:cs="宋体"/>
          <w:szCs w:val="22"/>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_Toc24308 \h </w:instrText>
      </w:r>
      <w:r>
        <w:rPr>
          <w:highlight w:val="none"/>
        </w:rPr>
        <w:fldChar w:fldCharType="separate"/>
      </w:r>
      <w:r>
        <w:rPr>
          <w:highlight w:val="none"/>
        </w:rPr>
        <w:t>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_Toc7698 </w:instrText>
      </w:r>
      <w:r>
        <w:rPr>
          <w:rFonts w:hint="eastAsia" w:ascii="宋体" w:hAnsi="宋体" w:eastAsia="宋体" w:cs="宋体"/>
          <w:szCs w:val="22"/>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_Toc7698 \h </w:instrText>
      </w:r>
      <w:r>
        <w:rPr>
          <w:highlight w:val="none"/>
        </w:rPr>
        <w:fldChar w:fldCharType="separate"/>
      </w:r>
      <w:r>
        <w:rPr>
          <w:highlight w:val="none"/>
        </w:rPr>
        <w:t>3</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_Toc32057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_Toc32057 \h </w:instrText>
      </w:r>
      <w:r>
        <w:rPr>
          <w:highlight w:val="none"/>
        </w:rPr>
        <w:fldChar w:fldCharType="separate"/>
      </w:r>
      <w:r>
        <w:rPr>
          <w:highlight w:val="none"/>
        </w:rPr>
        <w:t>4</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_Toc4013 </w:instrText>
      </w:r>
      <w:r>
        <w:rPr>
          <w:rFonts w:hint="eastAsia" w:ascii="宋体" w:hAnsi="宋体" w:eastAsia="宋体" w:cs="宋体"/>
          <w:szCs w:val="22"/>
          <w:highlight w:val="none"/>
        </w:rPr>
        <w:fldChar w:fldCharType="separate"/>
      </w:r>
      <w:r>
        <w:rPr>
          <w:rFonts w:hint="eastAsia" w:ascii="宋体" w:hAnsi="宋体"/>
          <w:highlight w:val="none"/>
          <w:lang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_Toc4013 \h </w:instrText>
      </w:r>
      <w:r>
        <w:rPr>
          <w:highlight w:val="none"/>
        </w:rPr>
        <w:fldChar w:fldCharType="separate"/>
      </w:r>
      <w:r>
        <w:rPr>
          <w:highlight w:val="none"/>
        </w:rPr>
        <w:t>4</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_Toc30792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_Toc30792 \h </w:instrText>
      </w:r>
      <w:r>
        <w:rPr>
          <w:highlight w:val="none"/>
        </w:rPr>
        <w:fldChar w:fldCharType="separate"/>
      </w:r>
      <w:r>
        <w:rPr>
          <w:highlight w:val="none"/>
        </w:rPr>
        <w:t>8</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_Toc3969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_Toc3969 \h </w:instrText>
      </w:r>
      <w:r>
        <w:rPr>
          <w:highlight w:val="none"/>
        </w:rPr>
        <w:fldChar w:fldCharType="separate"/>
      </w:r>
      <w:r>
        <w:rPr>
          <w:highlight w:val="none"/>
        </w:rPr>
        <w:t>9</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_Toc1001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_Toc1001 \h </w:instrText>
      </w:r>
      <w:r>
        <w:rPr>
          <w:highlight w:val="none"/>
        </w:rPr>
        <w:fldChar w:fldCharType="separate"/>
      </w:r>
      <w:r>
        <w:rPr>
          <w:highlight w:val="none"/>
        </w:rPr>
        <w:t>9</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_Toc12520 </w:instrText>
      </w:r>
      <w:r>
        <w:rPr>
          <w:rFonts w:hint="eastAsia" w:ascii="宋体" w:hAnsi="宋体" w:eastAsia="宋体" w:cs="宋体"/>
          <w:szCs w:val="22"/>
          <w:highlight w:val="none"/>
        </w:rPr>
        <w:fldChar w:fldCharType="separate"/>
      </w:r>
      <w:r>
        <w:rPr>
          <w:rFonts w:hint="eastAsia"/>
          <w:highlight w:val="none"/>
          <w:lang w:val="en-US" w:eastAsia="zh-CN"/>
        </w:rPr>
        <w:t>10</w:t>
      </w:r>
      <w:r>
        <w:rPr>
          <w:rFonts w:hint="eastAsia"/>
          <w:highlight w:val="none"/>
        </w:rPr>
        <w:t xml:space="preserve"> 认证的批准、</w:t>
      </w:r>
      <w:r>
        <w:rPr>
          <w:rFonts w:hint="eastAsia"/>
          <w:highlight w:val="none"/>
          <w:lang w:eastAsia="zh-CN"/>
        </w:rPr>
        <w:t>拒绝、</w:t>
      </w:r>
      <w:r>
        <w:rPr>
          <w:rFonts w:hint="eastAsia"/>
          <w:highlight w:val="none"/>
        </w:rPr>
        <w:t>保持、扩大、缩小、暂停、恢复和撤销的条件和程序</w:t>
      </w:r>
      <w:r>
        <w:rPr>
          <w:highlight w:val="none"/>
        </w:rPr>
        <w:tab/>
      </w:r>
      <w:r>
        <w:rPr>
          <w:highlight w:val="none"/>
        </w:rPr>
        <w:fldChar w:fldCharType="begin"/>
      </w:r>
      <w:r>
        <w:rPr>
          <w:highlight w:val="none"/>
        </w:rPr>
        <w:instrText xml:space="preserve"> PAGEREF _Toc12520 \h </w:instrText>
      </w:r>
      <w:r>
        <w:rPr>
          <w:highlight w:val="none"/>
        </w:rPr>
        <w:fldChar w:fldCharType="separate"/>
      </w:r>
      <w:r>
        <w:rPr>
          <w:highlight w:val="none"/>
        </w:rPr>
        <w:t>10</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_Toc8695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_Toc8695 \h </w:instrText>
      </w:r>
      <w:r>
        <w:rPr>
          <w:highlight w:val="none"/>
        </w:rPr>
        <w:fldChar w:fldCharType="separate"/>
      </w:r>
      <w:r>
        <w:rPr>
          <w:highlight w:val="none"/>
        </w:rPr>
        <w:t>19</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_Toc25232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r>
        <w:rPr>
          <w:highlight w:val="none"/>
        </w:rPr>
        <w:tab/>
      </w:r>
      <w:r>
        <w:rPr>
          <w:highlight w:val="none"/>
        </w:rPr>
        <w:fldChar w:fldCharType="begin"/>
      </w:r>
      <w:r>
        <w:rPr>
          <w:highlight w:val="none"/>
        </w:rPr>
        <w:instrText xml:space="preserve"> PAGEREF _Toc25232 \h </w:instrText>
      </w:r>
      <w:r>
        <w:rPr>
          <w:highlight w:val="none"/>
        </w:rPr>
        <w:fldChar w:fldCharType="separate"/>
      </w:r>
      <w:r>
        <w:rPr>
          <w:highlight w:val="none"/>
        </w:rPr>
        <w:t>20</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_Toc12709 </w:instrText>
      </w:r>
      <w:r>
        <w:rPr>
          <w:rFonts w:hint="eastAsia" w:ascii="宋体" w:hAnsi="宋体" w:eastAsia="宋体" w:cs="宋体"/>
          <w:szCs w:val="22"/>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r>
        <w:rPr>
          <w:highlight w:val="none"/>
        </w:rPr>
        <w:tab/>
      </w:r>
      <w:r>
        <w:rPr>
          <w:highlight w:val="none"/>
        </w:rPr>
        <w:fldChar w:fldCharType="begin"/>
      </w:r>
      <w:r>
        <w:rPr>
          <w:highlight w:val="none"/>
        </w:rPr>
        <w:instrText xml:space="preserve"> PAGEREF _Toc12709 \h </w:instrText>
      </w:r>
      <w:r>
        <w:rPr>
          <w:highlight w:val="none"/>
        </w:rPr>
        <w:fldChar w:fldCharType="separate"/>
      </w:r>
      <w:r>
        <w:rPr>
          <w:highlight w:val="none"/>
        </w:rPr>
        <w:t>21</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_Toc27959 </w:instrText>
      </w:r>
      <w:r>
        <w:rPr>
          <w:rFonts w:hint="eastAsia" w:ascii="宋体" w:hAnsi="宋体" w:eastAsia="宋体" w:cs="宋体"/>
          <w:szCs w:val="22"/>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_Toc27959 \h </w:instrText>
      </w:r>
      <w:r>
        <w:rPr>
          <w:highlight w:val="none"/>
        </w:rPr>
        <w:fldChar w:fldCharType="separate"/>
      </w:r>
      <w:r>
        <w:rPr>
          <w:highlight w:val="none"/>
        </w:rPr>
        <w:t>21</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_Toc28099 </w:instrText>
      </w:r>
      <w:r>
        <w:rPr>
          <w:rFonts w:hint="eastAsia" w:ascii="宋体" w:hAnsi="宋体" w:eastAsia="宋体" w:cs="宋体"/>
          <w:szCs w:val="22"/>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_Toc28099 \h </w:instrText>
      </w:r>
      <w:r>
        <w:rPr>
          <w:highlight w:val="none"/>
        </w:rPr>
        <w:fldChar w:fldCharType="separate"/>
      </w:r>
      <w:r>
        <w:rPr>
          <w:highlight w:val="none"/>
        </w:rPr>
        <w:t>22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_Toc2379 </w:instrText>
      </w:r>
      <w:r>
        <w:rPr>
          <w:rFonts w:hint="eastAsia" w:ascii="宋体" w:hAnsi="宋体" w:eastAsia="宋体" w:cs="宋体"/>
          <w:szCs w:val="22"/>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_Toc2379 \h </w:instrText>
      </w:r>
      <w:r>
        <w:rPr>
          <w:highlight w:val="none"/>
        </w:rPr>
        <w:fldChar w:fldCharType="separate"/>
      </w:r>
      <w:r>
        <w:rPr>
          <w:highlight w:val="none"/>
        </w:rPr>
        <w:t>22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_Toc31324 </w:instrText>
      </w:r>
      <w:r>
        <w:rPr>
          <w:rFonts w:hint="eastAsia" w:ascii="宋体" w:hAnsi="宋体" w:eastAsia="宋体" w:cs="宋体"/>
          <w:szCs w:val="22"/>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_Toc31324 \h </w:instrText>
      </w:r>
      <w:r>
        <w:rPr>
          <w:highlight w:val="none"/>
        </w:rPr>
        <w:fldChar w:fldCharType="separate"/>
      </w:r>
      <w:r>
        <w:rPr>
          <w:highlight w:val="none"/>
        </w:rPr>
        <w:t>22</w:t>
      </w:r>
      <w:r>
        <w:rPr>
          <w:highlight w:val="none"/>
        </w:rPr>
        <w:fldChar w:fldCharType="end"/>
      </w:r>
      <w:r>
        <w:rPr>
          <w:rFonts w:hint="eastAsia" w:ascii="宋体" w:hAnsi="宋体" w:eastAsia="宋体" w:cs="宋体"/>
          <w:szCs w:val="22"/>
          <w:highlight w:val="none"/>
        </w:rPr>
        <w:fldChar w:fldCharType="end"/>
      </w:r>
    </w:p>
    <w:p>
      <w:pPr>
        <w:pStyle w:val="11"/>
        <w:tabs>
          <w:tab w:val="right" w:leader="dot" w:pos="8312"/>
        </w:tabs>
        <w:rPr>
          <w:highlight w:val="none"/>
        </w:rPr>
      </w:pPr>
      <w:r>
        <w:rPr>
          <w:rFonts w:hint="eastAsia" w:ascii="宋体" w:hAnsi="宋体" w:eastAsia="宋体" w:cs="宋体"/>
          <w:szCs w:val="22"/>
          <w:highlight w:val="none"/>
        </w:rPr>
        <w:fldChar w:fldCharType="begin"/>
      </w:r>
      <w:r>
        <w:rPr>
          <w:rFonts w:hint="eastAsia" w:ascii="宋体" w:hAnsi="宋体" w:eastAsia="宋体" w:cs="宋体"/>
          <w:szCs w:val="22"/>
          <w:highlight w:val="none"/>
        </w:rPr>
        <w:instrText xml:space="preserve"> HYPERLINK \l _Toc19101 </w:instrText>
      </w:r>
      <w:r>
        <w:rPr>
          <w:rFonts w:hint="eastAsia" w:ascii="宋体" w:hAnsi="宋体" w:eastAsia="宋体" w:cs="宋体"/>
          <w:szCs w:val="22"/>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_Toc19101 \h </w:instrText>
      </w:r>
      <w:r>
        <w:rPr>
          <w:highlight w:val="none"/>
        </w:rPr>
        <w:fldChar w:fldCharType="separate"/>
      </w:r>
      <w:r>
        <w:rPr>
          <w:highlight w:val="none"/>
        </w:rPr>
        <w:t>22</w:t>
      </w:r>
      <w:r>
        <w:rPr>
          <w:highlight w:val="none"/>
        </w:rPr>
        <w:fldChar w:fldCharType="end"/>
      </w:r>
      <w:r>
        <w:rPr>
          <w:rFonts w:hint="eastAsia" w:ascii="宋体" w:hAnsi="宋体" w:eastAsia="宋体" w:cs="宋体"/>
          <w:szCs w:val="22"/>
          <w:highlight w:val="none"/>
        </w:rPr>
        <w:fldChar w:fldCharType="end"/>
      </w:r>
    </w:p>
    <w:p>
      <w:pPr>
        <w:keepNext w:val="0"/>
        <w:keepLines w:val="0"/>
        <w:pageBreakBefore w:val="0"/>
        <w:kinsoku/>
        <w:wordWrap/>
        <w:overflowPunct/>
        <w:topLinePunct w:val="0"/>
        <w:autoSpaceDE/>
        <w:autoSpaceDN/>
        <w:bidi w:val="0"/>
        <w:adjustRightInd/>
        <w:snapToGrid/>
        <w:spacing w:after="100" w:line="276" w:lineRule="auto"/>
        <w:textAlignment w:val="auto"/>
        <w:rPr>
          <w:highlight w:val="none"/>
        </w:rPr>
      </w:pPr>
      <w:r>
        <w:rPr>
          <w:rFonts w:hint="eastAsia" w:ascii="宋体" w:hAnsi="宋体" w:eastAsia="宋体" w:cs="宋体"/>
          <w:sz w:val="22"/>
          <w:szCs w:val="22"/>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4"/>
        <w:spacing w:before="0" w:after="0"/>
        <w:rPr>
          <w:rFonts w:ascii="黑体" w:hAnsi="黑体" w:eastAsia="黑体"/>
          <w:b w:val="0"/>
          <w:sz w:val="48"/>
          <w:szCs w:val="48"/>
          <w:highlight w:val="none"/>
        </w:rPr>
      </w:pPr>
      <w:bookmarkStart w:id="0" w:name="_Toc440007487"/>
      <w:bookmarkStart w:id="1" w:name="_Toc444776326"/>
      <w:bookmarkStart w:id="2" w:name="_Toc7833"/>
      <w:bookmarkStart w:id="3" w:name="_Toc17101"/>
      <w:bookmarkStart w:id="4" w:name="_Toc30027"/>
      <w:bookmarkStart w:id="5" w:name="_Toc11567"/>
      <w:r>
        <w:rPr>
          <w:rFonts w:hint="eastAsia" w:ascii="黑体" w:hAnsi="黑体" w:eastAsia="黑体"/>
          <w:b w:val="0"/>
          <w:sz w:val="36"/>
          <w:szCs w:val="36"/>
          <w:highlight w:val="none"/>
        </w:rPr>
        <w:t>质量、环境、职业健康安全管理体系认证实施方案</w:t>
      </w:r>
      <w:bookmarkEnd w:id="0"/>
      <w:bookmarkEnd w:id="1"/>
      <w:bookmarkEnd w:id="2"/>
      <w:bookmarkEnd w:id="3"/>
      <w:bookmarkEnd w:id="4"/>
      <w:bookmarkEnd w:id="5"/>
    </w:p>
    <w:p>
      <w:pPr>
        <w:spacing w:line="360" w:lineRule="auto"/>
        <w:ind w:firstLine="720" w:firstLineChars="200"/>
        <w:jc w:val="center"/>
        <w:rPr>
          <w:rFonts w:hint="eastAsia" w:ascii="黑体" w:eastAsia="黑体"/>
          <w:sz w:val="36"/>
          <w:szCs w:val="36"/>
          <w:highlight w:val="none"/>
        </w:rPr>
      </w:pPr>
    </w:p>
    <w:p>
      <w:pPr>
        <w:pStyle w:val="2"/>
        <w:spacing w:line="600" w:lineRule="auto"/>
        <w:rPr>
          <w:rFonts w:hint="eastAsia"/>
          <w:highlight w:val="none"/>
        </w:rPr>
      </w:pPr>
      <w:bookmarkStart w:id="6" w:name="_Toc185325622"/>
      <w:bookmarkStart w:id="7" w:name="_Toc14212"/>
      <w:bookmarkStart w:id="8" w:name="_Toc30069"/>
      <w:bookmarkStart w:id="9" w:name="_Toc29755"/>
      <w:bookmarkStart w:id="10" w:name="_Toc18587"/>
      <w:bookmarkStart w:id="11" w:name="_Toc85256247"/>
      <w:bookmarkStart w:id="12" w:name="_Toc85105511"/>
      <w:bookmarkStart w:id="13" w:name="_Toc85103622"/>
      <w:r>
        <w:rPr>
          <w:highlight w:val="none"/>
        </w:rPr>
        <w:t>1</w:t>
      </w:r>
      <w:r>
        <w:rPr>
          <w:rFonts w:hint="eastAsia"/>
          <w:highlight w:val="none"/>
        </w:rPr>
        <w:t xml:space="preserve"> 适用范围</w:t>
      </w:r>
      <w:bookmarkEnd w:id="6"/>
      <w:bookmarkEnd w:id="7"/>
      <w:bookmarkEnd w:id="8"/>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rPr>
        <w:t>本认证方案适用于方圆标志认证集团有限公司（以下简称：CQM）实施质量（包括建工质量）、环境、职业健康安全管理体系认证，满足第三方认证制度要求，作为提供认证服务的规范。必要时，在认证合同中补充相关的技术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highlight w:val="none"/>
        </w:rPr>
      </w:pPr>
      <w:r>
        <w:rPr>
          <w:rFonts w:hint="eastAsia"/>
          <w:sz w:val="24"/>
          <w:highlight w:val="none"/>
        </w:rPr>
        <w:t>本认证方案在认证双方签订合同时予以确认和采用。</w:t>
      </w:r>
      <w:bookmarkStart w:id="14" w:name="_Toc33598902"/>
      <w:bookmarkStart w:id="15" w:name="_Toc33600411"/>
      <w:bookmarkStart w:id="16" w:name="_Toc33598962"/>
      <w:bookmarkStart w:id="17" w:name="_Toc33598531"/>
      <w:bookmarkStart w:id="18" w:name="_Toc85103623"/>
      <w:bookmarkStart w:id="19" w:name="_Toc33599577"/>
      <w:bookmarkStart w:id="20" w:name="_Toc85105512"/>
      <w:bookmarkStart w:id="21" w:name="_Toc33600362"/>
      <w:bookmarkStart w:id="22" w:name="_Toc85256248"/>
      <w:bookmarkStart w:id="23" w:name="_Toc33599704"/>
    </w:p>
    <w:p>
      <w:pPr>
        <w:pStyle w:val="2"/>
        <w:spacing w:line="600" w:lineRule="auto"/>
        <w:rPr>
          <w:rFonts w:hint="eastAsia"/>
          <w:highlight w:val="none"/>
        </w:rPr>
      </w:pPr>
      <w:bookmarkStart w:id="24" w:name="_Toc6891"/>
      <w:bookmarkStart w:id="25" w:name="_Toc7689"/>
      <w:bookmarkStart w:id="26" w:name="_Toc15086"/>
      <w:bookmarkStart w:id="27" w:name="_Toc7137"/>
      <w:bookmarkStart w:id="28" w:name="_Toc185325623"/>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numPr>
          <w:ilvl w:val="0"/>
          <w:numId w:val="0"/>
        </w:numPr>
        <w:spacing w:line="360" w:lineRule="auto"/>
        <w:ind w:left="426" w:leftChars="0"/>
        <w:rPr>
          <w:rFonts w:hint="eastAsia" w:ascii="宋体" w:hAnsi="宋体"/>
          <w:color w:val="000000"/>
          <w:sz w:val="24"/>
          <w:highlight w:val="none"/>
        </w:rPr>
      </w:pPr>
      <w:r>
        <w:rPr>
          <w:rFonts w:hint="eastAsia" w:ascii="宋体" w:hAnsi="宋体"/>
          <w:sz w:val="24"/>
          <w:highlight w:val="none"/>
          <w:lang w:val="en-US" w:eastAsia="zh-CN"/>
        </w:rPr>
        <w:t>认证依据：</w:t>
      </w:r>
    </w:p>
    <w:p>
      <w:pPr>
        <w:numPr>
          <w:ilvl w:val="0"/>
          <w:numId w:val="1"/>
        </w:numPr>
        <w:spacing w:line="360" w:lineRule="auto"/>
        <w:ind w:firstLine="6"/>
        <w:rPr>
          <w:rFonts w:hint="eastAsia" w:ascii="宋体" w:hAnsi="宋体"/>
          <w:color w:val="000000"/>
          <w:sz w:val="24"/>
          <w:highlight w:val="none"/>
        </w:rPr>
      </w:pPr>
      <w:r>
        <w:rPr>
          <w:rFonts w:hint="eastAsia" w:ascii="宋体" w:hAnsi="宋体"/>
          <w:color w:val="000000"/>
          <w:sz w:val="24"/>
          <w:highlight w:val="none"/>
        </w:rPr>
        <w:t>质量管理体系：GB/T 19001</w:t>
      </w:r>
      <w:r>
        <w:rPr>
          <w:rFonts w:hint="eastAsia" w:ascii="宋体" w:hAnsi="宋体"/>
          <w:color w:val="auto"/>
          <w:highlight w:val="none"/>
        </w:rPr>
        <w:t>-2016/ISO 9001:2015</w:t>
      </w:r>
      <w:r>
        <w:rPr>
          <w:rFonts w:hint="eastAsia" w:ascii="宋体" w:hAnsi="宋体"/>
          <w:color w:val="000000"/>
          <w:sz w:val="24"/>
          <w:highlight w:val="none"/>
        </w:rPr>
        <w:t>《质量管理体系  要求》；</w:t>
      </w:r>
    </w:p>
    <w:p>
      <w:pPr>
        <w:spacing w:line="360" w:lineRule="auto"/>
        <w:ind w:left="779" w:leftChars="371"/>
        <w:rPr>
          <w:rFonts w:hint="eastAsia" w:ascii="宋体" w:hAnsi="宋体"/>
          <w:color w:val="000000"/>
          <w:sz w:val="24"/>
          <w:highlight w:val="none"/>
        </w:rPr>
      </w:pPr>
      <w:r>
        <w:rPr>
          <w:rFonts w:hint="eastAsia" w:ascii="宋体" w:hAnsi="宋体"/>
          <w:color w:val="000000"/>
          <w:sz w:val="24"/>
          <w:highlight w:val="none"/>
        </w:rPr>
        <w:t>工程建设施工企业质量管理体系：GB/T 19001</w:t>
      </w:r>
      <w:r>
        <w:rPr>
          <w:rFonts w:hint="eastAsia" w:ascii="宋体" w:hAnsi="宋体"/>
          <w:highlight w:val="none"/>
        </w:rPr>
        <w:t>-</w:t>
      </w:r>
      <w:r>
        <w:rPr>
          <w:rFonts w:hint="eastAsia" w:ascii="宋体" w:hAnsi="宋体"/>
          <w:color w:val="000000"/>
          <w:sz w:val="24"/>
          <w:highlight w:val="none"/>
        </w:rPr>
        <w:t>2016/ISO 9001:2015《质量管理体系 要求》和GB/T 50430</w:t>
      </w:r>
      <w:r>
        <w:rPr>
          <w:rFonts w:hint="eastAsia" w:ascii="宋体" w:hAnsi="宋体"/>
          <w:color w:val="000000"/>
          <w:sz w:val="24"/>
          <w:highlight w:val="none"/>
          <w:lang w:val="en-US" w:eastAsia="zh-CN"/>
        </w:rPr>
        <w:t>-2017</w:t>
      </w:r>
      <w:r>
        <w:rPr>
          <w:rFonts w:hint="eastAsia" w:ascii="宋体" w:hAnsi="宋体"/>
          <w:color w:val="000000"/>
          <w:sz w:val="24"/>
          <w:highlight w:val="none"/>
        </w:rPr>
        <w:t>《工程建设施工企业质量管理规范》</w:t>
      </w:r>
    </w:p>
    <w:p>
      <w:pPr>
        <w:spacing w:line="360" w:lineRule="auto"/>
        <w:ind w:left="839" w:leftChars="228" w:hanging="360" w:hangingChars="150"/>
        <w:rPr>
          <w:rFonts w:hint="eastAsia" w:ascii="宋体" w:hAnsi="宋体"/>
          <w:sz w:val="24"/>
          <w:highlight w:val="none"/>
        </w:rPr>
      </w:pPr>
      <w:r>
        <w:rPr>
          <w:rFonts w:hint="eastAsia" w:ascii="宋体" w:hAnsi="宋体"/>
          <w:color w:val="000000"/>
          <w:sz w:val="24"/>
          <w:highlight w:val="none"/>
        </w:rPr>
        <w:t>b) 环境管理体系： GB/T 24001-2016/ISO 14001:2015《环境管理</w:t>
      </w:r>
      <w:r>
        <w:rPr>
          <w:rFonts w:hint="eastAsia" w:ascii="宋体" w:hAnsi="宋体"/>
          <w:sz w:val="24"/>
          <w:highlight w:val="none"/>
        </w:rPr>
        <w:t>体系  要求及使用指南》；</w:t>
      </w:r>
    </w:p>
    <w:p>
      <w:pPr>
        <w:spacing w:line="360" w:lineRule="auto"/>
        <w:ind w:left="839" w:leftChars="228" w:hanging="360" w:hangingChars="150"/>
        <w:rPr>
          <w:rFonts w:hint="eastAsia" w:ascii="宋体" w:hAnsi="宋体"/>
          <w:sz w:val="24"/>
          <w:highlight w:val="none"/>
        </w:rPr>
      </w:pPr>
      <w:r>
        <w:rPr>
          <w:rFonts w:hint="eastAsia" w:ascii="宋体" w:hAnsi="宋体"/>
          <w:sz w:val="24"/>
          <w:highlight w:val="none"/>
        </w:rPr>
        <w:t>c) 职业健康安全管理体系：GB/T 45001</w:t>
      </w:r>
      <w:r>
        <w:rPr>
          <w:rFonts w:hint="eastAsia" w:ascii="宋体" w:hAnsi="宋体"/>
          <w:color w:val="000000"/>
          <w:sz w:val="24"/>
          <w:highlight w:val="none"/>
        </w:rPr>
        <w:t>-2020/ISO 45001:2018</w:t>
      </w:r>
      <w:r>
        <w:rPr>
          <w:rFonts w:hint="eastAsia" w:ascii="宋体" w:hAnsi="宋体"/>
          <w:sz w:val="24"/>
          <w:highlight w:val="none"/>
        </w:rPr>
        <w:t>《职业健康安全管理体系  要求及使用指南》。</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spacing w:line="360" w:lineRule="auto"/>
        <w:ind w:firstLine="480" w:firstLineChars="200"/>
        <w:rPr>
          <w:rFonts w:hint="eastAsia" w:ascii="宋体" w:hAnsi="宋体"/>
          <w:sz w:val="24"/>
          <w:highlight w:val="none"/>
        </w:rPr>
      </w:pPr>
    </w:p>
    <w:p>
      <w:pPr>
        <w:pStyle w:val="2"/>
        <w:spacing w:line="600" w:lineRule="auto"/>
        <w:rPr>
          <w:rFonts w:hint="eastAsia"/>
          <w:highlight w:val="none"/>
          <w:lang w:eastAsia="zh-CN"/>
        </w:rPr>
      </w:pPr>
      <w:bookmarkStart w:id="29" w:name="_Toc185325624"/>
      <w:bookmarkStart w:id="30" w:name="_Toc5571"/>
      <w:bookmarkStart w:id="31" w:name="_Toc10148"/>
      <w:bookmarkStart w:id="32" w:name="_Toc85105513"/>
      <w:bookmarkStart w:id="33" w:name="_Toc85256249"/>
      <w:bookmarkStart w:id="34" w:name="_Toc85103624"/>
      <w:bookmarkStart w:id="35" w:name="_Toc23950"/>
      <w:bookmarkStart w:id="36" w:name="_Toc24308"/>
      <w:r>
        <w:rPr>
          <w:rFonts w:hint="eastAsia"/>
          <w:highlight w:val="none"/>
        </w:rPr>
        <w:t>3 认证过程流程图</w:t>
      </w:r>
      <w:bookmarkEnd w:id="29"/>
      <w:bookmarkEnd w:id="30"/>
      <w:bookmarkEnd w:id="31"/>
      <w:bookmarkEnd w:id="32"/>
      <w:bookmarkEnd w:id="33"/>
      <w:bookmarkEnd w:id="34"/>
      <w:bookmarkEnd w:id="35"/>
      <w:bookmarkEnd w:id="36"/>
    </w:p>
    <w:p>
      <w:pPr>
        <w:rPr>
          <w:rFonts w:hint="eastAsia"/>
          <w:highlight w:val="none"/>
        </w:rPr>
      </w:pPr>
      <w:r>
        <w:rPr>
          <w:highlight w:val="none"/>
        </w:rPr>
        <w:pict>
          <v:shape id="_x0000_s1027" o:spid="_x0000_s1027" o:spt="75" type="#_x0000_t75" style="position:absolute;left:0pt;margin-left:90.25pt;margin-top:13.15pt;height:286pt;width:226.5pt;z-index:251663360;mso-width-relative:page;mso-height-relative:page;" o:ole="t" filled="f" o:preferrelative="t" stroked="f" coordsize="21600,21600">
            <v:path/>
            <v:fill on="f" alignshape="1" focussize="0,0"/>
            <v:stroke on="f"/>
            <v:imagedata r:id="rId12" grayscale="f" bilevel="f" o:title=""/>
            <o:lock v:ext="edit" aspectratio="t"/>
          </v:shape>
          <o:OLEObject Type="Embed" ProgID="" ShapeID="_x0000_s1027" DrawAspect="Content" ObjectID="_1468075725" r:id="rId11">
            <o:LockedField>false</o:LockedField>
          </o:OLEObject>
        </w:pict>
      </w: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pStyle w:val="2"/>
        <w:spacing w:line="600" w:lineRule="auto"/>
        <w:rPr>
          <w:rFonts w:hint="eastAsia"/>
          <w:highlight w:val="none"/>
          <w:lang w:val="en-US" w:eastAsia="zh-CN"/>
        </w:rPr>
      </w:pPr>
      <w:bookmarkStart w:id="37" w:name="_Toc26970"/>
      <w:bookmarkStart w:id="38" w:name="_Toc85103625"/>
      <w:bookmarkStart w:id="39" w:name="_Toc85256250"/>
      <w:bookmarkStart w:id="40" w:name="_Toc33600412"/>
      <w:bookmarkStart w:id="41" w:name="_Toc185325625"/>
      <w:bookmarkStart w:id="42" w:name="_Toc33598903"/>
      <w:bookmarkStart w:id="43" w:name="_Toc33598532"/>
      <w:bookmarkStart w:id="44" w:name="_Toc85105514"/>
      <w:bookmarkStart w:id="45" w:name="_Toc8739"/>
      <w:bookmarkStart w:id="46" w:name="_Toc33598963"/>
      <w:bookmarkStart w:id="47" w:name="_Toc33599578"/>
      <w:bookmarkStart w:id="48" w:name="_Toc33600363"/>
      <w:bookmarkStart w:id="49" w:name="_Toc21541"/>
      <w:bookmarkStart w:id="50" w:name="_Toc33599705"/>
      <w:bookmarkStart w:id="51" w:name="_Toc7698"/>
      <w:r>
        <w:rPr>
          <w:rFonts w:hint="eastAsia"/>
          <w:highlight w:val="none"/>
        </w:rPr>
        <w:t>4 认证申请</w:t>
      </w:r>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ighlight w:val="none"/>
          <w:lang w:val="en-US" w:eastAsia="zh-CN"/>
        </w:rPr>
        <w:t>及评审</w:t>
      </w:r>
      <w:bookmarkEnd w:id="51"/>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2"/>
        </w:numPr>
        <w:spacing w:line="360" w:lineRule="auto"/>
        <w:rPr>
          <w:rFonts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w:t>
      </w:r>
      <w:r>
        <w:rPr>
          <w:rFonts w:hint="eastAsia" w:ascii="宋体" w:hAnsi="宋体" w:cs="宋体"/>
          <w:color w:val="000000"/>
          <w:sz w:val="24"/>
          <w:highlight w:val="none"/>
        </w:rPr>
        <w:t xml:space="preserve">请认证。其他类型的客户，应由具备资格的单位代为申请； </w:t>
      </w:r>
    </w:p>
    <w:p>
      <w:pPr>
        <w:numPr>
          <w:ilvl w:val="0"/>
          <w:numId w:val="2"/>
        </w:numPr>
        <w:spacing w:line="360" w:lineRule="auto"/>
        <w:rPr>
          <w:rFonts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国家、地方或行业有要求时，认证客户具有规定的行政许可文件（申请</w:t>
      </w:r>
      <w:r>
        <w:rPr>
          <w:rFonts w:hint="eastAsia" w:ascii="宋体" w:hAnsi="宋体"/>
          <w:color w:val="000000"/>
          <w:sz w:val="24"/>
          <w:highlight w:val="none"/>
        </w:rPr>
        <w:t>工程建设施工企业质量管理体系认证的客户还应具有供资质证明、安全许可证等</w:t>
      </w:r>
      <w:r>
        <w:rPr>
          <w:rFonts w:hint="eastAsia" w:ascii="宋体" w:hAnsi="宋体" w:cs="宋体"/>
          <w:color w:val="000000"/>
          <w:sz w:val="24"/>
          <w:highlight w:val="none"/>
        </w:rPr>
        <w:t>）</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其申请认证范围应在法律地位文件和行政许可文件核准的的范围内；</w:t>
      </w:r>
    </w:p>
    <w:p>
      <w:pPr>
        <w:spacing w:line="360" w:lineRule="auto"/>
        <w:ind w:left="360" w:hanging="360" w:hangingChars="150"/>
        <w:rPr>
          <w:rFonts w:ascii="宋体" w:hAnsi="宋体" w:cs="宋体"/>
          <w:color w:val="000000"/>
          <w:sz w:val="24"/>
          <w:highlight w:val="none"/>
        </w:rPr>
      </w:pPr>
      <w:r>
        <w:rPr>
          <w:rFonts w:hint="eastAsia" w:ascii="宋体" w:hAnsi="宋体" w:cs="宋体"/>
          <w:color w:val="000000"/>
          <w:sz w:val="24"/>
          <w:highlight w:val="none"/>
        </w:rPr>
        <w:t>c) 认证客户按相关的管理体系标准建立了文件化的管理体系，</w:t>
      </w:r>
      <w:r>
        <w:rPr>
          <w:rFonts w:ascii="Arial" w:cs="Arial"/>
          <w:sz w:val="24"/>
          <w:highlight w:val="none"/>
        </w:rPr>
        <w:t>申请工程建设施工质量管理体系认证的企业</w:t>
      </w:r>
      <w:r>
        <w:rPr>
          <w:rFonts w:hint="eastAsia" w:ascii="Arial" w:cs="Arial"/>
          <w:sz w:val="24"/>
          <w:highlight w:val="none"/>
        </w:rPr>
        <w:t>，</w:t>
      </w:r>
      <w:r>
        <w:rPr>
          <w:rFonts w:ascii="Arial" w:cs="Arial"/>
          <w:sz w:val="24"/>
          <w:highlight w:val="none"/>
        </w:rPr>
        <w:t>已按</w:t>
      </w:r>
      <w:r>
        <w:rPr>
          <w:rFonts w:ascii="Arial" w:hAnsi="Arial" w:cs="Arial"/>
          <w:sz w:val="24"/>
          <w:highlight w:val="none"/>
        </w:rPr>
        <w:t>GB/T</w:t>
      </w:r>
      <w:r>
        <w:rPr>
          <w:rFonts w:hint="eastAsia" w:ascii="Arial" w:hAnsi="Arial" w:cs="Arial"/>
          <w:sz w:val="24"/>
          <w:highlight w:val="none"/>
          <w:lang w:val="en-US" w:eastAsia="zh-CN"/>
        </w:rPr>
        <w:t xml:space="preserve"> </w:t>
      </w:r>
      <w:r>
        <w:rPr>
          <w:rFonts w:ascii="Arial" w:hAnsi="Arial" w:cs="Arial"/>
          <w:sz w:val="24"/>
          <w:highlight w:val="none"/>
        </w:rPr>
        <w:t>19001</w:t>
      </w:r>
      <w:r>
        <w:rPr>
          <w:rFonts w:ascii="Arial" w:cs="Arial"/>
          <w:sz w:val="24"/>
          <w:highlight w:val="none"/>
        </w:rPr>
        <w:t>《质量管理体系</w:t>
      </w:r>
      <w:r>
        <w:rPr>
          <w:rFonts w:hint="eastAsia" w:ascii="Arial" w:cs="Arial"/>
          <w:sz w:val="24"/>
          <w:highlight w:val="none"/>
        </w:rPr>
        <w:t xml:space="preserve"> </w:t>
      </w:r>
      <w:r>
        <w:rPr>
          <w:rFonts w:ascii="Arial" w:cs="Arial"/>
          <w:sz w:val="24"/>
          <w:highlight w:val="none"/>
        </w:rPr>
        <w:t>要求》和</w:t>
      </w:r>
      <w:r>
        <w:rPr>
          <w:rFonts w:ascii="Arial" w:hAnsi="Arial" w:cs="Arial"/>
          <w:sz w:val="24"/>
          <w:highlight w:val="none"/>
        </w:rPr>
        <w:t>GB/T</w:t>
      </w:r>
      <w:r>
        <w:rPr>
          <w:rFonts w:hint="eastAsia" w:ascii="Arial" w:hAnsi="Arial" w:cs="Arial"/>
          <w:sz w:val="24"/>
          <w:highlight w:val="none"/>
          <w:lang w:val="en-US" w:eastAsia="zh-CN"/>
        </w:rPr>
        <w:t xml:space="preserve"> </w:t>
      </w:r>
      <w:r>
        <w:rPr>
          <w:rFonts w:ascii="Arial" w:hAnsi="Arial" w:cs="Arial"/>
          <w:sz w:val="24"/>
          <w:highlight w:val="none"/>
        </w:rPr>
        <w:t>50430</w:t>
      </w:r>
      <w:r>
        <w:rPr>
          <w:rFonts w:ascii="Arial" w:cs="Arial"/>
          <w:sz w:val="24"/>
          <w:highlight w:val="none"/>
        </w:rPr>
        <w:t>《工程建设施工企业质量管理规范》的要求建立和运行工程建设施工质量管理体系</w:t>
      </w:r>
      <w:r>
        <w:rPr>
          <w:rFonts w:hint="eastAsia" w:ascii="Arial" w:cs="Arial"/>
          <w:sz w:val="24"/>
          <w:highlight w:val="none"/>
        </w:rPr>
        <w:t>。</w:t>
      </w:r>
      <w:r>
        <w:rPr>
          <w:rFonts w:hint="eastAsia" w:ascii="宋体" w:hAnsi="宋体" w:cs="宋体"/>
          <w:color w:val="000000"/>
          <w:sz w:val="24"/>
          <w:highlight w:val="none"/>
        </w:rPr>
        <w:t>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个月，至少已实施一次完整的内审和管理评审或已编制实施计划（申请</w:t>
      </w:r>
      <w:r>
        <w:rPr>
          <w:rFonts w:hint="eastAsia" w:ascii="宋体" w:hAnsi="宋体"/>
          <w:color w:val="000000"/>
          <w:sz w:val="24"/>
          <w:highlight w:val="none"/>
        </w:rPr>
        <w:t>工程建设施工企业质量管理体系认证的客户应已实施了覆盖所有程序的内审和管理评审</w:t>
      </w:r>
      <w:r>
        <w:rPr>
          <w:rFonts w:hint="eastAsia" w:ascii="宋体" w:hAnsi="宋体" w:cs="宋体"/>
          <w:color w:val="000000"/>
          <w:sz w:val="24"/>
          <w:highlight w:val="none"/>
        </w:rPr>
        <w:t>），并承诺在证书有效期内，持续有效运行管理体系；</w:t>
      </w:r>
    </w:p>
    <w:p>
      <w:pPr>
        <w:spacing w:line="360" w:lineRule="auto"/>
        <w:ind w:left="360" w:hanging="360" w:hangingChars="150"/>
        <w:rPr>
          <w:rFonts w:ascii="宋体" w:hAnsi="宋体" w:cs="宋体"/>
          <w:sz w:val="24"/>
          <w:highlight w:val="none"/>
        </w:rPr>
      </w:pPr>
      <w:r>
        <w:rPr>
          <w:rFonts w:hint="eastAsia" w:ascii="宋体" w:hAnsi="宋体" w:cs="宋体"/>
          <w:sz w:val="24"/>
          <w:highlight w:val="none"/>
        </w:rPr>
        <w:t>d) 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spacing w:line="360" w:lineRule="auto"/>
        <w:ind w:left="360" w:hanging="360" w:hangingChars="150"/>
        <w:rPr>
          <w:rFonts w:hint="eastAsia" w:ascii="宋体" w:hAnsi="宋体" w:cs="方正仿宋简体"/>
          <w:sz w:val="24"/>
          <w:highlight w:val="none"/>
        </w:rPr>
      </w:pPr>
      <w:r>
        <w:rPr>
          <w:rFonts w:hint="eastAsia" w:ascii="宋体" w:hAnsi="宋体" w:cs="宋体"/>
          <w:sz w:val="24"/>
          <w:highlight w:val="none"/>
        </w:rPr>
        <w:t>e) 认证客户在一年内，未发生质量、环境、职业健康安全</w:t>
      </w:r>
      <w:r>
        <w:rPr>
          <w:rFonts w:hint="eastAsia" w:ascii="宋体" w:hAnsi="宋体" w:cs="方正仿宋简体"/>
          <w:sz w:val="24"/>
          <w:highlight w:val="none"/>
        </w:rPr>
        <w:t>事故或</w:t>
      </w:r>
      <w:r>
        <w:rPr>
          <w:rFonts w:hint="eastAsia" w:ascii="宋体" w:hAnsi="宋体" w:cs="宋体"/>
          <w:sz w:val="24"/>
          <w:highlight w:val="none"/>
        </w:rPr>
        <w:t>被执法监管部门责令停业整顿或</w:t>
      </w:r>
      <w:r>
        <w:rPr>
          <w:rFonts w:hint="eastAsia" w:ascii="宋体" w:hAnsi="宋体" w:cs="方正仿宋简体"/>
          <w:sz w:val="24"/>
          <w:highlight w:val="none"/>
        </w:rPr>
        <w:t>违反国家相关法规，虚报、瞒报获证所需信息的情况</w:t>
      </w:r>
      <w:r>
        <w:rPr>
          <w:rFonts w:hint="eastAsia" w:ascii="宋体" w:hAnsi="宋体" w:cs="方正仿宋简体"/>
          <w:sz w:val="24"/>
          <w:highlight w:val="none"/>
          <w:lang w:eastAsia="zh-CN"/>
        </w:rPr>
        <w:t>；</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宋体"/>
          <w:sz w:val="24"/>
          <w:highlight w:val="none"/>
        </w:rPr>
        <w:t>；</w:t>
      </w:r>
    </w:p>
    <w:p>
      <w:pPr>
        <w:spacing w:line="360" w:lineRule="auto"/>
        <w:ind w:left="360" w:hanging="360" w:hangingChars="150"/>
        <w:rPr>
          <w:rFonts w:hint="eastAsia" w:ascii="宋体" w:hAnsi="宋体" w:cs="宋体"/>
          <w:sz w:val="24"/>
          <w:highlight w:val="none"/>
        </w:rPr>
      </w:pPr>
      <w:r>
        <w:rPr>
          <w:rFonts w:hint="eastAsia" w:ascii="宋体" w:hAnsi="宋体" w:cs="宋体"/>
          <w:sz w:val="24"/>
          <w:highlight w:val="none"/>
        </w:rPr>
        <w:t>f) 认证客户承诺获得CQM认证后，按规定使用认证证书和认证标志和有关信息，不得擅自利用管理体系认证证书的文字、符号误导公众认为其产品或服务通过认证按合同支付认证费用，并按规定接受监督；</w:t>
      </w:r>
    </w:p>
    <w:p>
      <w:pPr>
        <w:spacing w:line="360" w:lineRule="auto"/>
        <w:ind w:left="360" w:hanging="360" w:hangingChars="150"/>
        <w:rPr>
          <w:rFonts w:hint="eastAsia" w:ascii="宋体" w:hAnsi="宋体"/>
          <w:sz w:val="24"/>
          <w:highlight w:val="none"/>
        </w:rPr>
      </w:pPr>
      <w:r>
        <w:rPr>
          <w:rFonts w:hint="eastAsia" w:ascii="宋体" w:hAnsi="宋体"/>
          <w:sz w:val="24"/>
          <w:highlight w:val="none"/>
        </w:rPr>
        <w:t>g) 认证客户承诺获得</w:t>
      </w:r>
      <w:r>
        <w:rPr>
          <w:rFonts w:hint="eastAsia" w:ascii="宋体" w:hAnsi="宋体" w:cs="宋体"/>
          <w:sz w:val="24"/>
          <w:highlight w:val="none"/>
        </w:rPr>
        <w:t>CQM</w:t>
      </w:r>
      <w:r>
        <w:rPr>
          <w:rFonts w:hint="eastAsia" w:ascii="宋体" w:hAnsi="宋体"/>
          <w:sz w:val="24"/>
          <w:highlight w:val="none"/>
        </w:rPr>
        <w:t>认证后，按照CQM要求向CQM通报管理体系变更的信息和其他可能影响管理体系持续满足认证标准要求的能力的事宜的信息，一般包括：客户及相关方有重大投诉；生产、销售的产品或提供的服务被</w:t>
      </w:r>
      <w:r>
        <w:rPr>
          <w:rFonts w:hint="eastAsia"/>
          <w:sz w:val="24"/>
          <w:highlight w:val="none"/>
          <w:lang w:val="en-GB"/>
        </w:rPr>
        <w:t>国家行政主管部门</w:t>
      </w:r>
      <w:r>
        <w:rPr>
          <w:rFonts w:hint="eastAsia" w:ascii="宋体" w:hAnsi="宋体"/>
          <w:sz w:val="24"/>
          <w:highlight w:val="none"/>
        </w:rPr>
        <w:t>认定不合格；发生产品或服务的质量/环境/安全等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spacing w:line="360" w:lineRule="auto"/>
        <w:rPr>
          <w:rFonts w:hint="eastAsia"/>
          <w:color w:val="000000"/>
          <w:highlight w:val="none"/>
        </w:rPr>
      </w:pPr>
      <w:r>
        <w:rPr>
          <w:rFonts w:hint="eastAsia" w:ascii="宋体" w:hAnsi="宋体"/>
          <w:color w:val="000000"/>
          <w:sz w:val="24"/>
          <w:highlight w:val="none"/>
        </w:rPr>
        <w:t>h) 认证审核期间，认证客户能够提供与拟认证范围相关的</w:t>
      </w:r>
      <w:r>
        <w:rPr>
          <w:rFonts w:hint="eastAsia" w:ascii="宋体" w:hAnsi="宋体" w:cs="宋体"/>
          <w:color w:val="000000"/>
          <w:sz w:val="24"/>
          <w:highlight w:val="none"/>
        </w:rPr>
        <w:t>产品/服务/活动现场。</w:t>
      </w:r>
    </w:p>
    <w:p>
      <w:pPr>
        <w:spacing w:line="360" w:lineRule="auto"/>
        <w:rPr>
          <w:rFonts w:ascii="Arial" w:hAnsi="Arial" w:cs="Arial"/>
          <w:color w:val="000000"/>
          <w:sz w:val="24"/>
          <w:highlight w:val="none"/>
        </w:rPr>
      </w:pPr>
      <w:r>
        <w:rPr>
          <w:rFonts w:hint="eastAsia"/>
          <w:color w:val="000000"/>
          <w:sz w:val="24"/>
          <w:highlight w:val="none"/>
        </w:rPr>
        <w:t>i</w:t>
      </w:r>
      <w:r>
        <w:rPr>
          <w:rFonts w:hint="eastAsia" w:ascii="宋体" w:hAnsi="宋体"/>
          <w:color w:val="000000"/>
          <w:sz w:val="24"/>
          <w:highlight w:val="none"/>
        </w:rPr>
        <w:t xml:space="preserve">) </w:t>
      </w:r>
      <w:r>
        <w:rPr>
          <w:rFonts w:hint="eastAsia"/>
          <w:color w:val="000000"/>
          <w:sz w:val="24"/>
          <w:highlight w:val="none"/>
        </w:rPr>
        <w:t>在有要求时，</w:t>
      </w:r>
      <w:r>
        <w:rPr>
          <w:rFonts w:ascii="Arial" w:hAnsi="Arial" w:cs="Arial"/>
          <w:color w:val="000000"/>
          <w:sz w:val="24"/>
          <w:highlight w:val="none"/>
        </w:rPr>
        <w:t>接受CNAS的见证评审</w:t>
      </w:r>
      <w:r>
        <w:rPr>
          <w:rFonts w:hint="eastAsia" w:ascii="Arial" w:hAnsi="Arial" w:cs="Arial"/>
          <w:color w:val="000000"/>
          <w:sz w:val="24"/>
          <w:highlight w:val="none"/>
        </w:rPr>
        <w:t>及确认审核</w:t>
      </w:r>
      <w:r>
        <w:rPr>
          <w:rFonts w:ascii="Arial" w:hAnsi="Arial" w:cs="Arial"/>
          <w:color w:val="000000"/>
          <w:sz w:val="24"/>
          <w:highlight w:val="none"/>
        </w:rPr>
        <w:t>并提供必要的支持。</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2" w:name="_Toc3502"/>
      <w:bookmarkStart w:id="53" w:name="_Toc31362"/>
      <w:bookmarkStart w:id="54" w:name="_Toc9070"/>
      <w:bookmarkStart w:id="55" w:name="_Toc32057"/>
      <w:bookmarkStart w:id="56" w:name="_Toc185325626"/>
      <w:r>
        <w:rPr>
          <w:rFonts w:hint="eastAsia" w:ascii="宋体" w:hAnsi="宋体"/>
          <w:color w:val="auto"/>
          <w:highlight w:val="none"/>
          <w:lang w:val="en-US" w:eastAsia="zh-CN"/>
        </w:rPr>
        <w:t xml:space="preserve">5 </w:t>
      </w:r>
      <w:bookmarkEnd w:id="52"/>
      <w:bookmarkEnd w:id="53"/>
      <w:bookmarkEnd w:id="54"/>
      <w:r>
        <w:rPr>
          <w:rFonts w:hint="eastAsia" w:ascii="宋体" w:hAnsi="宋体"/>
          <w:color w:val="auto"/>
          <w:highlight w:val="none"/>
          <w:lang w:val="en-US" w:eastAsia="zh-CN"/>
        </w:rPr>
        <w:t>审核方案策划</w:t>
      </w:r>
      <w:bookmarkEnd w:id="55"/>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600" w:lineRule="auto"/>
        <w:rPr>
          <w:rFonts w:hint="eastAsia" w:ascii="宋体" w:hAnsi="宋体"/>
          <w:highlight w:val="none"/>
        </w:rPr>
      </w:pPr>
      <w:bookmarkStart w:id="57" w:name="_Toc4013"/>
      <w:bookmarkStart w:id="58" w:name="_Toc11342"/>
      <w:bookmarkStart w:id="59" w:name="_Toc26045"/>
      <w:bookmarkStart w:id="60" w:name="_Toc8996"/>
      <w:r>
        <w:rPr>
          <w:rFonts w:hint="eastAsia" w:ascii="宋体" w:hAnsi="宋体"/>
          <w:highlight w:val="none"/>
          <w:lang w:eastAsia="zh-CN"/>
        </w:rPr>
        <w:t>6</w:t>
      </w:r>
      <w:r>
        <w:rPr>
          <w:rFonts w:hint="eastAsia" w:ascii="宋体" w:hAnsi="宋体"/>
          <w:highlight w:val="none"/>
        </w:rPr>
        <w:t xml:space="preserve"> 审核实施</w:t>
      </w:r>
      <w:bookmarkEnd w:id="56"/>
      <w:bookmarkEnd w:id="57"/>
      <w:bookmarkEnd w:id="58"/>
      <w:bookmarkEnd w:id="59"/>
      <w:bookmarkEnd w:id="60"/>
    </w:p>
    <w:p>
      <w:pPr>
        <w:pStyle w:val="3"/>
        <w:spacing w:before="0" w:after="0" w:line="360" w:lineRule="auto"/>
        <w:rPr>
          <w:rFonts w:hint="eastAsia" w:ascii="宋体" w:hAnsi="宋体" w:eastAsia="宋体"/>
          <w:sz w:val="24"/>
          <w:highlight w:val="none"/>
        </w:rPr>
      </w:pPr>
      <w:bookmarkStart w:id="61" w:name="_Toc444776332"/>
      <w:bookmarkStart w:id="62" w:name="_Toc185325627"/>
      <w:bookmarkStart w:id="63" w:name="_Toc32514"/>
      <w:r>
        <w:rPr>
          <w:rFonts w:hint="eastAsia" w:ascii="宋体" w:hAnsi="宋体" w:eastAsia="宋体"/>
          <w:sz w:val="24"/>
          <w:highlight w:val="none"/>
          <w:lang w:eastAsia="zh-CN"/>
        </w:rPr>
        <w:t>6</w:t>
      </w:r>
      <w:r>
        <w:rPr>
          <w:rFonts w:hint="eastAsia" w:ascii="宋体" w:hAnsi="宋体" w:eastAsia="宋体"/>
          <w:sz w:val="24"/>
          <w:highlight w:val="none"/>
        </w:rPr>
        <w:t>.1 审核准则</w:t>
      </w:r>
      <w:bookmarkEnd w:id="61"/>
      <w:bookmarkEnd w:id="62"/>
      <w:bookmarkEnd w:id="63"/>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认证双方确认的审核依据标准如下：</w:t>
      </w:r>
    </w:p>
    <w:p>
      <w:pPr>
        <w:numPr>
          <w:ilvl w:val="0"/>
          <w:numId w:val="1"/>
        </w:numPr>
        <w:spacing w:line="360" w:lineRule="auto"/>
        <w:ind w:firstLine="6"/>
        <w:rPr>
          <w:rFonts w:hint="eastAsia" w:ascii="宋体" w:hAnsi="宋体"/>
          <w:color w:val="000000"/>
          <w:sz w:val="24"/>
          <w:highlight w:val="none"/>
        </w:rPr>
      </w:pPr>
      <w:r>
        <w:rPr>
          <w:rFonts w:hint="eastAsia" w:ascii="宋体" w:hAnsi="宋体"/>
          <w:color w:val="000000"/>
          <w:sz w:val="24"/>
          <w:highlight w:val="none"/>
        </w:rPr>
        <w:t>质量管理体系：GB/T 19001</w:t>
      </w:r>
      <w:r>
        <w:rPr>
          <w:rFonts w:hint="eastAsia" w:ascii="宋体" w:hAnsi="宋体"/>
          <w:color w:val="auto"/>
          <w:highlight w:val="none"/>
        </w:rPr>
        <w:t>-</w:t>
      </w:r>
      <w:r>
        <w:rPr>
          <w:rFonts w:hint="eastAsia" w:ascii="宋体" w:hAnsi="宋体"/>
          <w:color w:val="000000"/>
          <w:sz w:val="24"/>
          <w:highlight w:val="none"/>
          <w:lang w:val="en-US" w:eastAsia="zh-CN"/>
        </w:rPr>
        <w:t>2016/ISO 9001:2015</w:t>
      </w:r>
      <w:r>
        <w:rPr>
          <w:rFonts w:hint="eastAsia" w:ascii="宋体" w:hAnsi="宋体"/>
          <w:color w:val="000000"/>
          <w:sz w:val="24"/>
          <w:highlight w:val="none"/>
        </w:rPr>
        <w:t>《质量管理体系  要求》；</w:t>
      </w:r>
    </w:p>
    <w:p>
      <w:pPr>
        <w:spacing w:line="360" w:lineRule="auto"/>
        <w:ind w:left="779" w:leftChars="371"/>
        <w:rPr>
          <w:rFonts w:hint="eastAsia" w:ascii="宋体" w:hAnsi="宋体"/>
          <w:color w:val="000000"/>
          <w:sz w:val="24"/>
          <w:highlight w:val="none"/>
        </w:rPr>
      </w:pPr>
      <w:r>
        <w:rPr>
          <w:rFonts w:hint="eastAsia" w:ascii="宋体" w:hAnsi="宋体"/>
          <w:color w:val="000000"/>
          <w:sz w:val="24"/>
          <w:highlight w:val="none"/>
        </w:rPr>
        <w:t>工程建设施工企业质量管理体系：GB/T 19001</w:t>
      </w:r>
      <w:r>
        <w:rPr>
          <w:rFonts w:hint="eastAsia" w:ascii="宋体" w:hAnsi="宋体"/>
          <w:highlight w:val="none"/>
        </w:rPr>
        <w:t>-</w:t>
      </w:r>
      <w:r>
        <w:rPr>
          <w:rFonts w:hint="eastAsia" w:ascii="宋体" w:hAnsi="宋体"/>
          <w:color w:val="000000"/>
          <w:sz w:val="24"/>
          <w:highlight w:val="none"/>
          <w:lang w:val="en-US" w:eastAsia="zh-CN"/>
        </w:rPr>
        <w:t>2016/ISO 9001:2015</w:t>
      </w:r>
      <w:r>
        <w:rPr>
          <w:rFonts w:hint="eastAsia" w:ascii="宋体" w:hAnsi="宋体"/>
          <w:color w:val="000000"/>
          <w:sz w:val="24"/>
          <w:highlight w:val="none"/>
        </w:rPr>
        <w:t>《质量管理体系 要求》和GB/T 50430</w:t>
      </w:r>
      <w:r>
        <w:rPr>
          <w:rFonts w:hint="eastAsia" w:ascii="宋体" w:hAnsi="宋体"/>
          <w:color w:val="000000"/>
          <w:sz w:val="24"/>
          <w:highlight w:val="none"/>
          <w:lang w:val="en-US" w:eastAsia="zh-CN"/>
        </w:rPr>
        <w:t>-2017</w:t>
      </w:r>
      <w:r>
        <w:rPr>
          <w:rFonts w:hint="eastAsia" w:ascii="宋体" w:hAnsi="宋体"/>
          <w:color w:val="000000"/>
          <w:sz w:val="24"/>
          <w:highlight w:val="none"/>
        </w:rPr>
        <w:t>《工程建设施工企业质量管理规范》</w:t>
      </w:r>
    </w:p>
    <w:p>
      <w:pPr>
        <w:spacing w:line="360" w:lineRule="auto"/>
        <w:ind w:left="839" w:leftChars="228" w:hanging="360" w:hangingChars="150"/>
        <w:rPr>
          <w:rFonts w:hint="eastAsia" w:ascii="宋体" w:hAnsi="宋体"/>
          <w:sz w:val="24"/>
          <w:highlight w:val="none"/>
        </w:rPr>
      </w:pPr>
      <w:r>
        <w:rPr>
          <w:rFonts w:hint="eastAsia" w:ascii="宋体" w:hAnsi="宋体"/>
          <w:color w:val="000000"/>
          <w:sz w:val="24"/>
          <w:highlight w:val="none"/>
        </w:rPr>
        <w:t>b) 环境管理体系： GB/T 24001</w:t>
      </w:r>
      <w:r>
        <w:rPr>
          <w:rFonts w:hint="eastAsia" w:ascii="宋体" w:hAnsi="宋体"/>
          <w:highlight w:val="none"/>
        </w:rPr>
        <w:t>-</w:t>
      </w:r>
      <w:r>
        <w:rPr>
          <w:rFonts w:hint="eastAsia" w:ascii="宋体" w:hAnsi="宋体"/>
          <w:color w:val="000000"/>
          <w:sz w:val="24"/>
          <w:highlight w:val="none"/>
          <w:lang w:val="en-US" w:eastAsia="zh-CN"/>
        </w:rPr>
        <w:t>2016/ISO 14001:2015</w:t>
      </w:r>
      <w:r>
        <w:rPr>
          <w:rFonts w:hint="eastAsia" w:ascii="宋体" w:hAnsi="宋体"/>
          <w:color w:val="000000"/>
          <w:sz w:val="24"/>
          <w:highlight w:val="none"/>
        </w:rPr>
        <w:t>《环境管理</w:t>
      </w:r>
      <w:r>
        <w:rPr>
          <w:rFonts w:hint="eastAsia" w:ascii="宋体" w:hAnsi="宋体"/>
          <w:sz w:val="24"/>
          <w:highlight w:val="none"/>
        </w:rPr>
        <w:t>体系  要求及使用指南》；</w:t>
      </w:r>
    </w:p>
    <w:p>
      <w:pPr>
        <w:spacing w:line="360" w:lineRule="auto"/>
        <w:ind w:left="839" w:leftChars="228" w:hanging="360" w:hangingChars="150"/>
        <w:rPr>
          <w:rFonts w:hint="eastAsia" w:ascii="宋体" w:hAnsi="宋体"/>
          <w:sz w:val="24"/>
          <w:highlight w:val="none"/>
        </w:rPr>
      </w:pPr>
      <w:r>
        <w:rPr>
          <w:rFonts w:hint="eastAsia" w:ascii="宋体" w:hAnsi="宋体"/>
          <w:sz w:val="24"/>
          <w:highlight w:val="none"/>
        </w:rPr>
        <w:t>c) 职业健康安全管理体系：GB/T 45001</w:t>
      </w:r>
      <w:r>
        <w:rPr>
          <w:rFonts w:hint="eastAsia" w:ascii="宋体" w:hAnsi="宋体"/>
          <w:highlight w:val="none"/>
        </w:rPr>
        <w:t>-</w:t>
      </w:r>
      <w:r>
        <w:rPr>
          <w:rFonts w:hint="eastAsia" w:ascii="宋体" w:hAnsi="宋体"/>
          <w:color w:val="000000"/>
          <w:sz w:val="24"/>
          <w:highlight w:val="none"/>
          <w:lang w:val="en-US" w:eastAsia="zh-CN"/>
        </w:rPr>
        <w:t>2020/ISO 45001:2018</w:t>
      </w:r>
      <w:r>
        <w:rPr>
          <w:rFonts w:hint="eastAsia" w:ascii="宋体" w:hAnsi="宋体"/>
          <w:sz w:val="24"/>
          <w:highlight w:val="none"/>
        </w:rPr>
        <w:t xml:space="preserve">《职业健康安全管理体系  </w:t>
      </w:r>
      <w:r>
        <w:rPr>
          <w:rFonts w:hint="eastAsia" w:ascii="宋体" w:hAnsi="宋体"/>
          <w:sz w:val="24"/>
          <w:highlight w:val="none"/>
        </w:rPr>
        <w:t>要求及使用指南</w:t>
      </w:r>
      <w:r>
        <w:rPr>
          <w:rFonts w:hint="eastAsia" w:ascii="宋体" w:hAnsi="宋体"/>
          <w:sz w:val="24"/>
          <w:highlight w:val="none"/>
        </w:rPr>
        <w:t>》。</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审核准则还包括受审核方所适用的方针、程序、标准、法律法规、质量管理体系要求、合同要求或行业规范。</w:t>
      </w:r>
    </w:p>
    <w:p>
      <w:pPr>
        <w:pStyle w:val="3"/>
        <w:spacing w:before="0" w:after="0" w:line="360" w:lineRule="auto"/>
        <w:rPr>
          <w:rFonts w:ascii="宋体" w:hAnsi="宋体" w:eastAsia="宋体"/>
          <w:sz w:val="24"/>
          <w:highlight w:val="none"/>
          <w:lang w:val="en-GB"/>
        </w:rPr>
      </w:pPr>
      <w:bookmarkStart w:id="64" w:name="_Toc28263"/>
      <w:bookmarkStart w:id="65" w:name="_Toc444776333"/>
      <w:bookmarkStart w:id="66" w:name="_Toc185325628"/>
      <w:r>
        <w:rPr>
          <w:rFonts w:hint="eastAsia" w:ascii="宋体" w:hAnsi="宋体" w:eastAsia="宋体"/>
          <w:sz w:val="24"/>
          <w:highlight w:val="none"/>
          <w:lang w:eastAsia="zh-CN"/>
        </w:rPr>
        <w:t>6</w:t>
      </w:r>
      <w:r>
        <w:rPr>
          <w:rFonts w:ascii="宋体" w:hAnsi="宋体" w:eastAsia="宋体"/>
          <w:sz w:val="24"/>
          <w:highlight w:val="none"/>
        </w:rPr>
        <w:t xml:space="preserve">.2 </w:t>
      </w:r>
      <w:r>
        <w:rPr>
          <w:rFonts w:hint="eastAsia" w:ascii="宋体" w:hAnsi="宋体" w:eastAsia="宋体"/>
          <w:sz w:val="24"/>
          <w:highlight w:val="none"/>
        </w:rPr>
        <w:t>审核过程</w:t>
      </w:r>
      <w:bookmarkEnd w:id="64"/>
      <w:bookmarkEnd w:id="65"/>
      <w:bookmarkEnd w:id="66"/>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ind w:firstLine="480" w:firstLineChars="200"/>
        <w:jc w:val="left"/>
        <w:rPr>
          <w:rFonts w:hint="eastAsia" w:ascii="宋体" w:hAnsi="宋体"/>
          <w:color w:val="000000"/>
          <w:sz w:val="24"/>
          <w:highlight w:val="none"/>
        </w:rPr>
      </w:pPr>
      <w:r>
        <w:rPr>
          <w:rFonts w:hint="eastAsia" w:ascii="宋体" w:hAnsi="宋体"/>
          <w:color w:val="000000"/>
          <w:sz w:val="24"/>
          <w:highlight w:val="none"/>
        </w:rPr>
        <w:t>工程建设施工企业质量管理体系认证初次认证的两个阶段都是现场审核。</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bookmarkStart w:id="67" w:name="_Toc85105532"/>
      <w:bookmarkStart w:id="68" w:name="_Toc85256268"/>
      <w:bookmarkStart w:id="69" w:name="_Toc85103642"/>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67"/>
      <w:bookmarkEnd w:id="68"/>
      <w:bookmarkEnd w:id="69"/>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（如关注国家有关部门发布的质量信息公报、关注获证客户相关方的信息、获证客户有关信息的日常跟踪、审查获证客户及其运作的说明、要求获证客户提供文件和记录等）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bookmarkStart w:id="70" w:name="_Toc85256266"/>
      <w:bookmarkStart w:id="71" w:name="_Toc85105530"/>
      <w:bookmarkStart w:id="72" w:name="_Toc85103640"/>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70"/>
      <w:bookmarkEnd w:id="71"/>
      <w:bookmarkEnd w:id="72"/>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持续的运作控制质量目标的实现情况；</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投诉的处理；</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4"/>
        </w:numPr>
        <w:spacing w:line="360" w:lineRule="auto"/>
        <w:jc w:val="left"/>
        <w:rPr>
          <w:rFonts w:hint="eastAsia"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产品/服务/活动现场情况；</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6"/>
        <w:spacing w:line="360" w:lineRule="auto"/>
        <w:ind w:firstLine="480"/>
        <w:rPr>
          <w:rFonts w:hint="eastAsia"/>
          <w:sz w:val="24"/>
          <w:szCs w:val="24"/>
          <w:highlight w:val="none"/>
          <w:lang w:eastAsia="zh-CN"/>
        </w:rPr>
      </w:pPr>
      <w:r>
        <w:rPr>
          <w:rFonts w:hint="eastAsia"/>
          <w:sz w:val="24"/>
          <w:szCs w:val="24"/>
          <w:highlight w:val="none"/>
        </w:rPr>
        <w:t>CQM根据以上</w:t>
      </w:r>
      <w:bookmarkStart w:id="73" w:name="_Toc33599725"/>
      <w:bookmarkStart w:id="74" w:name="_Toc33599598"/>
      <w:bookmarkStart w:id="75" w:name="_Toc33600432"/>
      <w:bookmarkStart w:id="76" w:name="_Toc33600388"/>
      <w:r>
        <w:rPr>
          <w:rFonts w:hint="eastAsia"/>
          <w:sz w:val="24"/>
          <w:szCs w:val="24"/>
          <w:highlight w:val="none"/>
        </w:rPr>
        <w:t>信息对获证客户管理体系进行再评价，确认其是否持续满足认证要求。</w:t>
      </w:r>
    </w:p>
    <w:p>
      <w:pPr>
        <w:pStyle w:val="6"/>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bookmarkStart w:id="77" w:name="_Toc85103641"/>
      <w:bookmarkStart w:id="78" w:name="_Toc85256267"/>
      <w:bookmarkStart w:id="79" w:name="_Toc85105531"/>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73"/>
      <w:bookmarkEnd w:id="74"/>
      <w:bookmarkEnd w:id="75"/>
      <w:bookmarkEnd w:id="76"/>
      <w:bookmarkEnd w:id="77"/>
      <w:bookmarkEnd w:id="78"/>
      <w:bookmarkEnd w:id="79"/>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5"/>
        </w:numPr>
        <w:spacing w:line="360" w:lineRule="auto"/>
        <w:rPr>
          <w:rFonts w:hint="eastAsia" w:ascii="宋体" w:hAnsi="宋体"/>
          <w:sz w:val="24"/>
          <w:highlight w:val="none"/>
        </w:rPr>
      </w:pPr>
      <w:r>
        <w:rPr>
          <w:rFonts w:hint="eastAsia" w:ascii="宋体" w:hAnsi="宋体"/>
          <w:sz w:val="24"/>
          <w:highlight w:val="none"/>
        </w:rPr>
        <w:t>获证客户对管理体系进行了重大更改；</w:t>
      </w:r>
    </w:p>
    <w:p>
      <w:pPr>
        <w:pStyle w:val="6"/>
        <w:numPr>
          <w:ilvl w:val="0"/>
          <w:numId w:val="5"/>
        </w:numPr>
        <w:spacing w:line="360" w:lineRule="auto"/>
        <w:ind w:firstLineChars="0"/>
        <w:rPr>
          <w:rFonts w:hint="eastAsia"/>
          <w:sz w:val="24"/>
          <w:szCs w:val="24"/>
          <w:highlight w:val="none"/>
        </w:rPr>
      </w:pPr>
      <w:r>
        <w:rPr>
          <w:rFonts w:hint="eastAsia"/>
          <w:sz w:val="24"/>
          <w:szCs w:val="24"/>
          <w:highlight w:val="none"/>
        </w:rPr>
        <w:t>有足够信息表明获证客户发生了组织机构、生产条件、产品变更等影响到其认证基础的更改；</w:t>
      </w:r>
    </w:p>
    <w:p>
      <w:pPr>
        <w:pStyle w:val="6"/>
        <w:numPr>
          <w:ilvl w:val="0"/>
          <w:numId w:val="5"/>
        </w:numPr>
        <w:spacing w:line="360" w:lineRule="auto"/>
        <w:ind w:firstLineChars="0"/>
        <w:rPr>
          <w:rFonts w:hint="eastAsia"/>
          <w:sz w:val="24"/>
          <w:szCs w:val="24"/>
          <w:highlight w:val="none"/>
        </w:rPr>
      </w:pPr>
      <w:r>
        <w:rPr>
          <w:rFonts w:hint="eastAsia"/>
          <w:sz w:val="24"/>
          <w:szCs w:val="24"/>
          <w:highlight w:val="none"/>
        </w:rPr>
        <w:t>获证客户出现产品质量事故、重大污染事件、职业健康安全事故或用户提出对相关管理体系运行效果的投诉未得到处理时；</w:t>
      </w:r>
    </w:p>
    <w:p>
      <w:pPr>
        <w:pStyle w:val="6"/>
        <w:numPr>
          <w:ilvl w:val="0"/>
          <w:numId w:val="5"/>
        </w:numPr>
        <w:spacing w:line="360" w:lineRule="auto"/>
        <w:ind w:firstLineChars="0"/>
        <w:rPr>
          <w:rFonts w:hint="eastAsia"/>
          <w:sz w:val="24"/>
          <w:szCs w:val="24"/>
          <w:highlight w:val="none"/>
        </w:rPr>
      </w:pPr>
      <w:r>
        <w:rPr>
          <w:rFonts w:hint="eastAsia"/>
          <w:sz w:val="24"/>
          <w:szCs w:val="24"/>
          <w:highlight w:val="none"/>
          <w:lang w:val="en-GB"/>
        </w:rPr>
        <w:t>获证</w:t>
      </w:r>
      <w:r>
        <w:rPr>
          <w:rFonts w:hint="eastAsia"/>
          <w:sz w:val="24"/>
          <w:szCs w:val="24"/>
          <w:highlight w:val="none"/>
          <w:lang w:val="en-GB" w:eastAsia="zh-CN"/>
        </w:rPr>
        <w:t>客户</w:t>
      </w:r>
      <w:r>
        <w:rPr>
          <w:rFonts w:hint="eastAsia"/>
          <w:sz w:val="24"/>
          <w:szCs w:val="24"/>
          <w:highlight w:val="none"/>
          <w:lang w:val="en-GB"/>
        </w:rPr>
        <w:t>的产品</w:t>
      </w:r>
      <w:r>
        <w:rPr>
          <w:rFonts w:hint="eastAsia"/>
          <w:sz w:val="24"/>
          <w:szCs w:val="24"/>
          <w:highlight w:val="none"/>
          <w:lang w:val="en-GB" w:eastAsia="zh-CN"/>
        </w:rPr>
        <w:t>和服务被</w:t>
      </w:r>
      <w:r>
        <w:rPr>
          <w:rFonts w:hint="eastAsia"/>
          <w:sz w:val="24"/>
          <w:szCs w:val="24"/>
          <w:highlight w:val="none"/>
          <w:lang w:val="en-GB"/>
        </w:rPr>
        <w:t>国家</w:t>
      </w:r>
      <w:r>
        <w:rPr>
          <w:rFonts w:hint="eastAsia"/>
          <w:sz w:val="24"/>
          <w:szCs w:val="24"/>
          <w:highlight w:val="none"/>
          <w:lang w:val="en-GB" w:eastAsia="zh-CN"/>
        </w:rPr>
        <w:t>行政主管部门在监督</w:t>
      </w:r>
      <w:r>
        <w:rPr>
          <w:rFonts w:hint="eastAsia"/>
          <w:sz w:val="24"/>
          <w:szCs w:val="24"/>
          <w:highlight w:val="none"/>
          <w:lang w:val="en-GB"/>
        </w:rPr>
        <w:t>抽查中被查出不合格时</w:t>
      </w:r>
      <w:r>
        <w:rPr>
          <w:rFonts w:hint="eastAsia"/>
          <w:sz w:val="24"/>
          <w:szCs w:val="24"/>
          <w:highlight w:val="none"/>
          <w:lang w:eastAsia="zh-CN"/>
        </w:rPr>
        <w:t>；</w:t>
      </w:r>
    </w:p>
    <w:p>
      <w:pPr>
        <w:pStyle w:val="6"/>
        <w:numPr>
          <w:ilvl w:val="0"/>
          <w:numId w:val="5"/>
        </w:numPr>
        <w:spacing w:line="360" w:lineRule="auto"/>
        <w:ind w:firstLineChars="0"/>
        <w:rPr>
          <w:sz w:val="24"/>
          <w:szCs w:val="24"/>
          <w:highlight w:val="none"/>
        </w:rPr>
      </w:pPr>
      <w:r>
        <w:rPr>
          <w:rFonts w:hint="eastAsia"/>
          <w:sz w:val="24"/>
          <w:szCs w:val="24"/>
          <w:highlight w:val="none"/>
        </w:rPr>
        <w:t>其他需要考虑的情况。</w:t>
      </w:r>
      <w:bookmarkStart w:id="80" w:name="_Toc33599726"/>
      <w:bookmarkStart w:id="81" w:name="_Toc33600389"/>
      <w:bookmarkStart w:id="82" w:name="_Toc33600433"/>
      <w:bookmarkStart w:id="83" w:name="_Toc33599599"/>
    </w:p>
    <w:bookmarkEnd w:id="80"/>
    <w:bookmarkEnd w:id="81"/>
    <w:bookmarkEnd w:id="82"/>
    <w:bookmarkEnd w:id="83"/>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6"/>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eastAsia="zh-CN"/>
        </w:rPr>
        <w:t>6</w:t>
      </w:r>
      <w:r>
        <w:rPr>
          <w:rFonts w:hint="eastAsia"/>
          <w:color w:val="auto"/>
          <w:sz w:val="24"/>
          <w:szCs w:val="24"/>
          <w:highlight w:val="none"/>
        </w:rPr>
        <w:t>.2.1条实施。</w:t>
      </w:r>
    </w:p>
    <w:p>
      <w:pPr>
        <w:pStyle w:val="6"/>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after="156" w:afterLines="50" w:line="360" w:lineRule="auto"/>
        <w:ind w:firstLine="480" w:firstLineChars="200"/>
        <w:rPr>
          <w:rFonts w:hint="eastAsia"/>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after="156" w:afterLines="50" w:line="360" w:lineRule="auto"/>
        <w:ind w:firstLine="480" w:firstLineChars="200"/>
        <w:rPr>
          <w:rFonts w:hint="eastAsia"/>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6"/>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pStyle w:val="3"/>
        <w:spacing w:before="0" w:after="0" w:line="360" w:lineRule="auto"/>
        <w:rPr>
          <w:rFonts w:hint="eastAsia" w:ascii="宋体" w:hAnsi="宋体" w:eastAsia="宋体"/>
          <w:sz w:val="24"/>
          <w:highlight w:val="none"/>
          <w:shd w:val="pct10" w:color="auto" w:fill="FFFFFF"/>
        </w:rPr>
      </w:pPr>
      <w:bookmarkStart w:id="84" w:name="_Toc444776334"/>
      <w:bookmarkStart w:id="85" w:name="_Toc185325629"/>
      <w:bookmarkStart w:id="86" w:name="_Toc9355"/>
      <w:r>
        <w:rPr>
          <w:rFonts w:hint="eastAsia" w:ascii="宋体" w:hAnsi="宋体" w:eastAsia="宋体"/>
          <w:sz w:val="24"/>
          <w:highlight w:val="none"/>
          <w:lang w:eastAsia="zh-CN"/>
        </w:rPr>
        <w:t>6</w:t>
      </w:r>
      <w:r>
        <w:rPr>
          <w:rFonts w:hint="eastAsia" w:ascii="宋体" w:hAnsi="宋体" w:eastAsia="宋体"/>
          <w:sz w:val="24"/>
          <w:highlight w:val="none"/>
        </w:rPr>
        <w:t>.</w:t>
      </w:r>
      <w:r>
        <w:rPr>
          <w:rFonts w:ascii="宋体" w:hAnsi="宋体" w:eastAsia="宋体"/>
          <w:sz w:val="24"/>
          <w:highlight w:val="none"/>
        </w:rPr>
        <w:t>3</w:t>
      </w:r>
      <w:r>
        <w:rPr>
          <w:rFonts w:hint="eastAsia" w:ascii="宋体" w:hAnsi="宋体" w:eastAsia="宋体"/>
          <w:sz w:val="24"/>
          <w:highlight w:val="none"/>
        </w:rPr>
        <w:t xml:space="preserve"> 现场审核活动实施</w:t>
      </w:r>
      <w:bookmarkEnd w:id="84"/>
      <w:bookmarkEnd w:id="85"/>
      <w:bookmarkEnd w:id="86"/>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87"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8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2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2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88"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8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89"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89"/>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600" w:lineRule="auto"/>
        <w:rPr>
          <w:color w:val="000000"/>
          <w:highlight w:val="none"/>
        </w:rPr>
      </w:pPr>
      <w:bookmarkStart w:id="90" w:name="_Toc85105515"/>
      <w:bookmarkStart w:id="91" w:name="_Toc85103626"/>
      <w:bookmarkStart w:id="92" w:name="_Toc85256251"/>
      <w:bookmarkStart w:id="93" w:name="_Toc185325630"/>
      <w:bookmarkStart w:id="94" w:name="_Toc4952"/>
      <w:bookmarkStart w:id="95" w:name="_Toc12520"/>
      <w:bookmarkStart w:id="96" w:name="_Toc24304"/>
      <w:bookmarkStart w:id="97" w:name="_Toc3051"/>
      <w:bookmarkStart w:id="98" w:name="_Toc33598904"/>
      <w:bookmarkStart w:id="99" w:name="_Toc33598533"/>
      <w:bookmarkStart w:id="100" w:name="_Toc33599706"/>
      <w:bookmarkStart w:id="101" w:name="_Toc33600413"/>
      <w:bookmarkStart w:id="102" w:name="_Toc33600364"/>
      <w:bookmarkStart w:id="103" w:name="_Toc33598964"/>
      <w:bookmarkStart w:id="104" w:name="_Toc33599579"/>
      <w:r>
        <w:rPr>
          <w:rFonts w:hint="eastAsia"/>
          <w:highlight w:val="none"/>
          <w:lang w:val="en-US" w:eastAsia="zh-CN"/>
        </w:rPr>
        <w:t>10</w:t>
      </w:r>
      <w:r>
        <w:rPr>
          <w:rFonts w:hint="eastAsia"/>
          <w:highlight w:val="none"/>
        </w:rPr>
        <w:t xml:space="preserve"> 认证的批</w:t>
      </w:r>
      <w:r>
        <w:rPr>
          <w:rFonts w:hint="eastAsia"/>
          <w:color w:val="000000"/>
          <w:highlight w:val="none"/>
        </w:rPr>
        <w:t>准、</w:t>
      </w:r>
      <w:r>
        <w:rPr>
          <w:rFonts w:hint="eastAsia"/>
          <w:color w:val="000000"/>
          <w:highlight w:val="none"/>
          <w:lang w:eastAsia="zh-CN"/>
        </w:rPr>
        <w:t>拒绝、</w:t>
      </w:r>
      <w:r>
        <w:rPr>
          <w:rFonts w:hint="eastAsia"/>
          <w:color w:val="000000"/>
          <w:highlight w:val="none"/>
        </w:rPr>
        <w:t>保持、扩大、缩小、暂停、恢复和撤销的条件</w:t>
      </w:r>
      <w:bookmarkEnd w:id="90"/>
      <w:bookmarkEnd w:id="91"/>
      <w:bookmarkEnd w:id="92"/>
      <w:r>
        <w:rPr>
          <w:rFonts w:hint="eastAsia"/>
          <w:color w:val="000000"/>
          <w:highlight w:val="none"/>
        </w:rPr>
        <w:t>和程序</w:t>
      </w:r>
      <w:bookmarkEnd w:id="93"/>
      <w:bookmarkEnd w:id="94"/>
      <w:bookmarkEnd w:id="95"/>
      <w:bookmarkEnd w:id="96"/>
      <w:bookmarkEnd w:id="97"/>
    </w:p>
    <w:p>
      <w:pPr>
        <w:pStyle w:val="3"/>
        <w:spacing w:before="0" w:after="0" w:line="360" w:lineRule="auto"/>
        <w:rPr>
          <w:rFonts w:hint="eastAsia" w:ascii="宋体" w:hAnsi="宋体" w:eastAsia="宋体"/>
          <w:color w:val="000000"/>
          <w:sz w:val="24"/>
          <w:highlight w:val="none"/>
        </w:rPr>
      </w:pPr>
      <w:bookmarkStart w:id="105" w:name="_Toc85256252"/>
      <w:bookmarkStart w:id="106" w:name="_Toc185325631"/>
      <w:bookmarkStart w:id="107" w:name="_Toc85103627"/>
      <w:bookmarkStart w:id="108" w:name="_Toc85105516"/>
      <w:bookmarkStart w:id="109" w:name="_Toc444776336"/>
      <w:bookmarkStart w:id="110" w:name="_Toc30897"/>
      <w:r>
        <w:rPr>
          <w:rFonts w:hint="eastAsia" w:ascii="宋体" w:hAnsi="宋体" w:eastAsia="宋体"/>
          <w:color w:val="000000"/>
          <w:sz w:val="24"/>
          <w:highlight w:val="none"/>
          <w:lang w:val="en-US" w:eastAsia="zh-CN"/>
        </w:rPr>
        <w:t>10</w:t>
      </w:r>
      <w:r>
        <w:rPr>
          <w:rFonts w:hint="eastAsia" w:ascii="宋体" w:hAnsi="宋体" w:eastAsia="宋体"/>
          <w:color w:val="000000"/>
          <w:sz w:val="24"/>
          <w:highlight w:val="none"/>
        </w:rPr>
        <w:t xml:space="preserve">.1 </w:t>
      </w:r>
      <w:bookmarkEnd w:id="105"/>
      <w:bookmarkEnd w:id="106"/>
      <w:bookmarkEnd w:id="107"/>
      <w:bookmarkEnd w:id="108"/>
      <w:r>
        <w:rPr>
          <w:rFonts w:hint="eastAsia" w:ascii="宋体" w:hAnsi="宋体" w:eastAsia="宋体"/>
          <w:color w:val="000000"/>
          <w:sz w:val="24"/>
          <w:highlight w:val="none"/>
        </w:rPr>
        <w:t>批准认证</w:t>
      </w:r>
      <w:r>
        <w:rPr>
          <w:rFonts w:hint="eastAsia" w:ascii="宋体" w:hAnsi="宋体" w:eastAsia="宋体"/>
          <w:color w:val="000000"/>
          <w:sz w:val="24"/>
          <w:highlight w:val="none"/>
          <w:lang w:eastAsia="zh-CN"/>
        </w:rPr>
        <w:t>范围</w:t>
      </w:r>
      <w:r>
        <w:rPr>
          <w:rFonts w:hint="eastAsia" w:ascii="宋体" w:hAnsi="宋体" w:eastAsia="宋体"/>
          <w:color w:val="000000"/>
          <w:sz w:val="24"/>
          <w:highlight w:val="none"/>
        </w:rPr>
        <w:t>的条件和程序</w:t>
      </w:r>
      <w:bookmarkEnd w:id="109"/>
      <w:bookmarkEnd w:id="110"/>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6"/>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至少近一年来，认证客户申请认证范围内未发生重大质量/环境/职业健康安全事故或国家检查不合格；</w:t>
      </w:r>
    </w:p>
    <w:p>
      <w:pPr>
        <w:numPr>
          <w:ilvl w:val="0"/>
          <w:numId w:val="6"/>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bookmarkStart w:id="111" w:name="_Toc85103628"/>
      <w:bookmarkStart w:id="112" w:name="_Toc85256253"/>
      <w:bookmarkStart w:id="113" w:name="_Toc85105517"/>
      <w:r>
        <w:rPr>
          <w:rFonts w:hint="eastAsia" w:ascii="宋体" w:hAnsi="宋体"/>
          <w:bCs/>
          <w:sz w:val="24"/>
          <w:highlight w:val="none"/>
          <w:lang w:val="en-US" w:eastAsia="zh-CN"/>
        </w:rPr>
        <w:t>10</w:t>
      </w:r>
      <w:r>
        <w:rPr>
          <w:rFonts w:hint="eastAsia" w:ascii="宋体" w:hAnsi="宋体"/>
          <w:bCs/>
          <w:sz w:val="24"/>
          <w:highlight w:val="none"/>
        </w:rPr>
        <w:t>.1.2 批准认证</w:t>
      </w:r>
      <w:bookmarkEnd w:id="111"/>
      <w:bookmarkEnd w:id="112"/>
      <w:bookmarkEnd w:id="113"/>
      <w:r>
        <w:rPr>
          <w:rFonts w:hint="eastAsia" w:ascii="宋体" w:hAnsi="宋体"/>
          <w:bCs/>
          <w:sz w:val="24"/>
          <w:highlight w:val="none"/>
        </w:rPr>
        <w:t>资格的程序</w:t>
      </w:r>
    </w:p>
    <w:p>
      <w:pPr>
        <w:numPr>
          <w:ilvl w:val="0"/>
          <w:numId w:val="7"/>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7"/>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7"/>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7"/>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7"/>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highlight w:val="none"/>
        </w:rPr>
      </w:pPr>
      <w:bookmarkStart w:id="114" w:name="_Toc444776337"/>
      <w:bookmarkStart w:id="115" w:name="_Toc17175"/>
      <w:r>
        <w:rPr>
          <w:rFonts w:hint="eastAsia" w:ascii="宋体" w:hAnsi="宋体" w:eastAsia="宋体"/>
          <w:sz w:val="24"/>
          <w:highlight w:val="none"/>
          <w:lang w:val="en-US" w:eastAsia="zh-CN"/>
        </w:rPr>
        <w:t>10</w:t>
      </w:r>
      <w:r>
        <w:rPr>
          <w:rFonts w:hint="eastAsia" w:ascii="宋体" w:hAnsi="宋体" w:eastAsia="宋体"/>
          <w:sz w:val="24"/>
          <w:highlight w:val="none"/>
        </w:rPr>
        <w:t xml:space="preserve">.2 </w:t>
      </w:r>
      <w:r>
        <w:rPr>
          <w:rFonts w:hint="eastAsia" w:ascii="宋体" w:hAnsi="宋体" w:eastAsia="宋体"/>
          <w:sz w:val="24"/>
          <w:highlight w:val="none"/>
          <w:lang w:eastAsia="zh-CN"/>
        </w:rPr>
        <w:t>拒绝</w:t>
      </w:r>
      <w:r>
        <w:rPr>
          <w:rFonts w:hint="eastAsia" w:ascii="宋体" w:hAnsi="宋体" w:eastAsia="宋体"/>
          <w:sz w:val="24"/>
          <w:highlight w:val="none"/>
        </w:rPr>
        <w:t>认证</w:t>
      </w:r>
      <w:r>
        <w:rPr>
          <w:rFonts w:hint="eastAsia" w:ascii="宋体" w:hAnsi="宋体" w:eastAsia="宋体"/>
          <w:sz w:val="24"/>
          <w:highlight w:val="none"/>
          <w:lang w:eastAsia="zh-CN"/>
        </w:rPr>
        <w:t>注册</w:t>
      </w:r>
      <w:r>
        <w:rPr>
          <w:rFonts w:hint="eastAsia" w:ascii="宋体" w:hAnsi="宋体" w:eastAsia="宋体"/>
          <w:sz w:val="24"/>
          <w:highlight w:val="none"/>
        </w:rPr>
        <w:t>的条件和程序</w:t>
      </w:r>
      <w:bookmarkEnd w:id="114"/>
      <w:bookmarkEnd w:id="115"/>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8"/>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8"/>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认证客户的管理体系有重大缺陷，不符合认证标准的要求，或认证客户存在重大质量、安全、环境问题及与认证范围内相关严重违法违规行为，经CQM的审定结论为不予认证注册；</w:t>
      </w:r>
    </w:p>
    <w:p>
      <w:pPr>
        <w:widowControl/>
        <w:numPr>
          <w:ilvl w:val="0"/>
          <w:numId w:val="8"/>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8"/>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8"/>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7"/>
        <w:numPr>
          <w:ilvl w:val="1"/>
          <w:numId w:val="7"/>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iCs/>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7"/>
        <w:numPr>
          <w:ilvl w:val="1"/>
          <w:numId w:val="7"/>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spacing w:before="0" w:after="0" w:line="360" w:lineRule="auto"/>
        <w:rPr>
          <w:rFonts w:hint="eastAsia" w:ascii="宋体" w:hAnsi="宋体" w:eastAsia="宋体"/>
          <w:sz w:val="24"/>
          <w:highlight w:val="none"/>
        </w:rPr>
      </w:pPr>
      <w:bookmarkStart w:id="116" w:name="_Toc85103629"/>
      <w:bookmarkStart w:id="117" w:name="_Toc85256254"/>
      <w:bookmarkStart w:id="118" w:name="_Toc85105518"/>
      <w:bookmarkStart w:id="119" w:name="_Toc1414"/>
      <w:bookmarkStart w:id="120" w:name="_Toc185325632"/>
      <w:bookmarkStart w:id="121" w:name="_Toc444776338"/>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3</w:t>
      </w:r>
      <w:r>
        <w:rPr>
          <w:rFonts w:hint="eastAsia" w:ascii="宋体" w:hAnsi="宋体" w:eastAsia="宋体"/>
          <w:sz w:val="24"/>
          <w:highlight w:val="none"/>
        </w:rPr>
        <w:t xml:space="preserve"> 保持认证资格的条件</w:t>
      </w:r>
      <w:bookmarkEnd w:id="116"/>
      <w:bookmarkEnd w:id="117"/>
      <w:bookmarkEnd w:id="118"/>
      <w:r>
        <w:rPr>
          <w:rFonts w:hint="eastAsia" w:ascii="宋体" w:hAnsi="宋体" w:eastAsia="宋体"/>
          <w:sz w:val="24"/>
          <w:highlight w:val="none"/>
        </w:rPr>
        <w:t>和程序</w:t>
      </w:r>
      <w:bookmarkEnd w:id="119"/>
      <w:bookmarkEnd w:id="120"/>
      <w:bookmarkEnd w:id="121"/>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9"/>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获证客户在认证范围内的组织单元、产品、服务及其过程和活动持续满足适用的最新法律法规的要求，如发生不满足时及时采取有效的措施；</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获证客户于获证期内，认证范围内涉及的产品/服务/活动未发生重大事故和国家检查不合格；</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10"/>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highlight w:val="none"/>
          <w:lang w:eastAsia="zh-CN"/>
        </w:rPr>
      </w:pPr>
      <w:bookmarkStart w:id="122" w:name="_Toc85105519"/>
      <w:bookmarkStart w:id="123" w:name="_Toc85103630"/>
      <w:bookmarkStart w:id="124" w:name="_Toc85256255"/>
      <w:bookmarkStart w:id="125" w:name="_Toc26243"/>
      <w:bookmarkStart w:id="126" w:name="_Toc444776339"/>
      <w:bookmarkStart w:id="127" w:name="_Toc185325633"/>
      <w:r>
        <w:rPr>
          <w:rFonts w:hint="eastAsia" w:ascii="宋体" w:hAnsi="宋体" w:eastAsia="宋体"/>
          <w:sz w:val="24"/>
          <w:highlight w:val="none"/>
          <w:lang w:val="en-US" w:eastAsia="zh-CN"/>
        </w:rPr>
        <w:t>10</w:t>
      </w:r>
      <w:r>
        <w:rPr>
          <w:rFonts w:ascii="宋体" w:hAnsi="宋体" w:eastAsia="宋体"/>
          <w:sz w:val="24"/>
          <w:highlight w:val="none"/>
        </w:rPr>
        <w:t>.</w:t>
      </w:r>
      <w:r>
        <w:rPr>
          <w:rFonts w:hint="eastAsia" w:ascii="宋体" w:hAnsi="宋体" w:eastAsia="宋体"/>
          <w:sz w:val="24"/>
          <w:highlight w:val="none"/>
          <w:lang w:eastAsia="zh-CN"/>
        </w:rPr>
        <w:t>4</w:t>
      </w:r>
      <w:r>
        <w:rPr>
          <w:rFonts w:hint="eastAsia" w:ascii="宋体" w:hAnsi="宋体" w:eastAsia="宋体"/>
          <w:sz w:val="24"/>
          <w:highlight w:val="none"/>
        </w:rPr>
        <w:t xml:space="preserve"> 扩大认证范围的条件</w:t>
      </w:r>
      <w:bookmarkEnd w:id="122"/>
      <w:bookmarkEnd w:id="123"/>
      <w:bookmarkEnd w:id="124"/>
      <w:r>
        <w:rPr>
          <w:rFonts w:hint="eastAsia" w:ascii="宋体" w:hAnsi="宋体" w:eastAsia="宋体"/>
          <w:sz w:val="24"/>
          <w:highlight w:val="none"/>
        </w:rPr>
        <w:t>和程序</w:t>
      </w:r>
      <w:bookmarkEnd w:id="125"/>
      <w:bookmarkEnd w:id="126"/>
      <w:bookmarkEnd w:id="127"/>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1"/>
        </w:numPr>
        <w:spacing w:line="400" w:lineRule="exact"/>
        <w:rPr>
          <w:rFonts w:ascii="宋体" w:hAnsi="宋体"/>
          <w:sz w:val="24"/>
          <w:highlight w:val="none"/>
        </w:rPr>
      </w:pPr>
      <w:r>
        <w:rPr>
          <w:rFonts w:hint="eastAsia" w:ascii="宋体" w:hAnsi="宋体"/>
          <w:sz w:val="24"/>
          <w:highlight w:val="none"/>
        </w:rPr>
        <w:t>获证客户名称增加、固定分场所增加、区域或生产单元（EMS区域、生产线）扩大；</w:t>
      </w:r>
    </w:p>
    <w:p>
      <w:pPr>
        <w:numPr>
          <w:ilvl w:val="0"/>
          <w:numId w:val="11"/>
        </w:numPr>
        <w:spacing w:line="400" w:lineRule="exact"/>
        <w:rPr>
          <w:rFonts w:ascii="宋体" w:hAnsi="宋体"/>
          <w:sz w:val="24"/>
          <w:highlight w:val="none"/>
        </w:rPr>
      </w:pPr>
      <w:r>
        <w:rPr>
          <w:rFonts w:hint="eastAsia" w:ascii="宋体" w:hAnsi="宋体"/>
          <w:sz w:val="24"/>
          <w:highlight w:val="none"/>
        </w:rPr>
        <w:t>产品或服务类别增加；</w:t>
      </w:r>
    </w:p>
    <w:p>
      <w:pPr>
        <w:numPr>
          <w:ilvl w:val="0"/>
          <w:numId w:val="11"/>
        </w:numPr>
        <w:spacing w:line="400" w:lineRule="exact"/>
        <w:rPr>
          <w:rFonts w:hint="eastAsia"/>
          <w:highlight w:val="none"/>
        </w:rPr>
      </w:pPr>
      <w:r>
        <w:rPr>
          <w:rFonts w:hint="eastAsia" w:ascii="宋体" w:hAnsi="宋体"/>
          <w:sz w:val="24"/>
          <w:highlight w:val="none"/>
        </w:rPr>
        <w:t>产品形成主要过程增加，如产品设计、产品安装。</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2"/>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2"/>
        </w:numPr>
        <w:spacing w:line="400" w:lineRule="exact"/>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2"/>
        </w:numPr>
        <w:spacing w:line="400" w:lineRule="exact"/>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2"/>
        </w:numPr>
        <w:spacing w:line="400" w:lineRule="exact"/>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2"/>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3"/>
        </w:numPr>
        <w:spacing w:line="400" w:lineRule="exact"/>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3"/>
        </w:numPr>
        <w:spacing w:line="400" w:lineRule="exact"/>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3"/>
        </w:numPr>
        <w:spacing w:line="400" w:lineRule="exact"/>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3"/>
        </w:numPr>
        <w:spacing w:line="400" w:lineRule="exact"/>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3"/>
        </w:numPr>
        <w:spacing w:line="400" w:lineRule="exact"/>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highlight w:val="none"/>
          <w:lang w:eastAsia="zh-CN"/>
        </w:rPr>
      </w:pPr>
      <w:bookmarkStart w:id="128" w:name="_Toc85105520"/>
      <w:bookmarkStart w:id="129" w:name="_Toc85103631"/>
      <w:bookmarkStart w:id="130" w:name="_Toc85256256"/>
      <w:bookmarkStart w:id="131" w:name="_Toc25371"/>
      <w:bookmarkStart w:id="132" w:name="_Toc185325634"/>
      <w:bookmarkStart w:id="133" w:name="_Toc44477634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5</w:t>
      </w:r>
      <w:r>
        <w:rPr>
          <w:rFonts w:hint="eastAsia" w:ascii="宋体" w:hAnsi="宋体" w:eastAsia="宋体"/>
          <w:sz w:val="24"/>
          <w:highlight w:val="none"/>
        </w:rPr>
        <w:t xml:space="preserve"> 缩小认证范围的条件</w:t>
      </w:r>
      <w:bookmarkEnd w:id="128"/>
      <w:bookmarkEnd w:id="129"/>
      <w:bookmarkEnd w:id="130"/>
      <w:r>
        <w:rPr>
          <w:rFonts w:hint="eastAsia" w:ascii="宋体" w:hAnsi="宋体" w:eastAsia="宋体"/>
          <w:sz w:val="24"/>
          <w:highlight w:val="none"/>
        </w:rPr>
        <w:t>和程序</w:t>
      </w:r>
      <w:bookmarkEnd w:id="131"/>
      <w:bookmarkEnd w:id="132"/>
      <w:bookmarkEnd w:id="133"/>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获证客户固定分场所、区域或生产单元（EMS区域、生产线）缩小；</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4"/>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5"/>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5"/>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5"/>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7"/>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7"/>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7"/>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highlight w:val="none"/>
        </w:rPr>
      </w:pPr>
      <w:bookmarkStart w:id="134" w:name="_Toc444776341"/>
      <w:bookmarkStart w:id="135" w:name="_Toc1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6</w:t>
      </w:r>
      <w:r>
        <w:rPr>
          <w:rFonts w:hint="eastAsia" w:ascii="宋体" w:hAnsi="宋体" w:eastAsia="宋体"/>
          <w:sz w:val="24"/>
          <w:highlight w:val="none"/>
        </w:rPr>
        <w:t xml:space="preserve"> </w:t>
      </w:r>
      <w:r>
        <w:rPr>
          <w:rFonts w:hint="eastAsia" w:ascii="宋体" w:hAnsi="宋体" w:eastAsia="宋体"/>
          <w:sz w:val="24"/>
          <w:highlight w:val="none"/>
          <w:lang w:eastAsia="zh-CN"/>
        </w:rPr>
        <w:t>变更认证信息的条件和</w:t>
      </w:r>
      <w:r>
        <w:rPr>
          <w:rFonts w:hint="eastAsia" w:ascii="宋体" w:hAnsi="宋体" w:eastAsia="宋体"/>
          <w:sz w:val="24"/>
          <w:highlight w:val="none"/>
        </w:rPr>
        <w:t>程序</w:t>
      </w:r>
      <w:bookmarkEnd w:id="134"/>
      <w:bookmarkEnd w:id="135"/>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6"/>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6"/>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6"/>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6"/>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6"/>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证书范围中的产品、服务、活动的变更。</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7"/>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7"/>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有行政许可、资质等要求的获证客户，还应提供按新地址变更后的法规要求的有关文件（必要时，包括环评、环保验收，安评、安全验收等证据材料）。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19"/>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9"/>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19"/>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1"/>
          <w:numId w:val="20"/>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0"/>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.6.2.1要求的申请和相关文件资料；</w:t>
      </w:r>
    </w:p>
    <w:p>
      <w:pPr>
        <w:numPr>
          <w:ilvl w:val="0"/>
          <w:numId w:val="21"/>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pStyle w:val="3"/>
        <w:spacing w:before="0" w:after="0" w:line="360" w:lineRule="auto"/>
        <w:rPr>
          <w:rFonts w:hint="eastAsia" w:ascii="宋体" w:hAnsi="宋体" w:eastAsia="宋体"/>
          <w:sz w:val="24"/>
          <w:highlight w:val="none"/>
        </w:rPr>
      </w:pPr>
      <w:bookmarkStart w:id="136" w:name="_Toc85256257"/>
      <w:bookmarkStart w:id="137" w:name="_Toc85105521"/>
      <w:bookmarkStart w:id="138" w:name="_Toc85103632"/>
      <w:bookmarkStart w:id="139" w:name="_Toc12920"/>
      <w:bookmarkStart w:id="140" w:name="_Toc185325635"/>
      <w:bookmarkStart w:id="141" w:name="_Toc444776342"/>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7</w:t>
      </w:r>
      <w:r>
        <w:rPr>
          <w:rFonts w:hint="eastAsia" w:ascii="宋体" w:hAnsi="宋体" w:eastAsia="宋体"/>
          <w:sz w:val="24"/>
          <w:highlight w:val="none"/>
        </w:rPr>
        <w:t xml:space="preserve"> 暂停认证资格的条件</w:t>
      </w:r>
      <w:bookmarkEnd w:id="136"/>
      <w:bookmarkEnd w:id="137"/>
      <w:bookmarkEnd w:id="138"/>
      <w:r>
        <w:rPr>
          <w:rFonts w:hint="eastAsia" w:ascii="宋体" w:hAnsi="宋体" w:eastAsia="宋体"/>
          <w:sz w:val="24"/>
          <w:highlight w:val="none"/>
        </w:rPr>
        <w:t>和程序</w:t>
      </w:r>
      <w:bookmarkEnd w:id="139"/>
      <w:bookmarkEnd w:id="140"/>
      <w:bookmarkEnd w:id="141"/>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获证客户在认证范围内的组织单元、产品、服务及其过程和活动不能满足适用的最新法律法规和标准的要求，并未采取措施或措施无效；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e)获证乳品企业违反认证机构要求。</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7"/>
        <w:spacing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7"/>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7"/>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7"/>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7"/>
        <w:spacing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7"/>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7"/>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7"/>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获证客户发生了与质量、环境、职业健康安全等有关的重大事故，反映出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7"/>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pStyle w:val="7"/>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获证客户批量产品出现严重波动，未采取措施或措施无效的</w:t>
      </w:r>
      <w:r>
        <w:rPr>
          <w:rFonts w:hint="eastAsia" w:ascii="宋体" w:hAnsi="宋体"/>
          <w:bCs/>
          <w:iCs/>
          <w:sz w:val="24"/>
          <w:highlight w:val="none"/>
        </w:rPr>
        <w:t>（</w:t>
      </w:r>
      <w:r>
        <w:rPr>
          <w:rFonts w:ascii="宋体" w:hAnsi="宋体"/>
          <w:bCs/>
          <w:iCs/>
          <w:sz w:val="24"/>
          <w:highlight w:val="none"/>
        </w:rPr>
        <w:t>QMS适用</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总装厂将企业确定为供货特殊状态或者企业被其客户投诉。</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.7.2 暂停认证资格的程序</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pStyle w:val="3"/>
        <w:spacing w:before="0" w:after="0" w:line="360" w:lineRule="auto"/>
        <w:rPr>
          <w:rFonts w:hint="eastAsia" w:ascii="宋体" w:hAnsi="宋体" w:eastAsia="宋体"/>
          <w:sz w:val="24"/>
          <w:highlight w:val="none"/>
        </w:rPr>
      </w:pPr>
      <w:bookmarkStart w:id="142" w:name="_Toc85256258"/>
      <w:bookmarkStart w:id="143" w:name="_Toc85105522"/>
      <w:bookmarkStart w:id="144" w:name="_Toc85103633"/>
      <w:bookmarkStart w:id="145" w:name="_Toc444776343"/>
      <w:bookmarkStart w:id="146" w:name="_Toc185325636"/>
      <w:bookmarkStart w:id="147" w:name="_Toc7095"/>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8</w:t>
      </w:r>
      <w:r>
        <w:rPr>
          <w:rFonts w:hint="eastAsia" w:ascii="宋体" w:hAnsi="宋体" w:eastAsia="宋体"/>
          <w:sz w:val="24"/>
          <w:highlight w:val="none"/>
        </w:rPr>
        <w:t xml:space="preserve"> 恢复认证资格的条件</w:t>
      </w:r>
      <w:bookmarkEnd w:id="142"/>
      <w:bookmarkEnd w:id="143"/>
      <w:bookmarkEnd w:id="144"/>
      <w:r>
        <w:rPr>
          <w:rFonts w:hint="eastAsia" w:ascii="宋体" w:hAnsi="宋体" w:eastAsia="宋体"/>
          <w:sz w:val="24"/>
          <w:highlight w:val="none"/>
        </w:rPr>
        <w:t>和程序</w:t>
      </w:r>
      <w:bookmarkEnd w:id="145"/>
      <w:bookmarkEnd w:id="146"/>
      <w:bookmarkEnd w:id="147"/>
    </w:p>
    <w:p>
      <w:pPr>
        <w:spacing w:line="360" w:lineRule="auto"/>
        <w:rPr>
          <w:rFonts w:hint="eastAsia"/>
          <w:bCs/>
          <w:highlight w:val="none"/>
        </w:rPr>
      </w:pPr>
      <w:r>
        <w:rPr>
          <w:rFonts w:hint="eastAsia" w:ascii="宋体" w:hAnsi="宋体"/>
          <w:bCs/>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3"/>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3"/>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3"/>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bookmarkEnd w:id="98"/>
    <w:bookmarkEnd w:id="99"/>
    <w:bookmarkEnd w:id="100"/>
    <w:bookmarkEnd w:id="101"/>
    <w:bookmarkEnd w:id="102"/>
    <w:bookmarkEnd w:id="103"/>
    <w:bookmarkEnd w:id="104"/>
    <w:p>
      <w:pPr>
        <w:pStyle w:val="3"/>
        <w:spacing w:before="0" w:after="0" w:line="360" w:lineRule="auto"/>
        <w:rPr>
          <w:rFonts w:hint="eastAsia" w:ascii="宋体" w:hAnsi="宋体" w:eastAsia="宋体"/>
          <w:sz w:val="24"/>
          <w:highlight w:val="none"/>
        </w:rPr>
      </w:pPr>
      <w:bookmarkStart w:id="148" w:name="_Toc85105524"/>
      <w:bookmarkStart w:id="149" w:name="_Toc85256260"/>
      <w:bookmarkStart w:id="150" w:name="_Toc85103635"/>
      <w:bookmarkStart w:id="151" w:name="_Toc185325638"/>
      <w:bookmarkStart w:id="152" w:name="_Toc444776345"/>
      <w:bookmarkStart w:id="153" w:name="_Toc1885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9</w:t>
      </w:r>
      <w:r>
        <w:rPr>
          <w:rFonts w:hint="eastAsia" w:ascii="宋体" w:hAnsi="宋体" w:eastAsia="宋体"/>
          <w:sz w:val="24"/>
          <w:highlight w:val="none"/>
        </w:rPr>
        <w:t xml:space="preserve"> 撤销认证资格的条件</w:t>
      </w:r>
      <w:bookmarkEnd w:id="148"/>
      <w:bookmarkEnd w:id="149"/>
      <w:bookmarkEnd w:id="150"/>
      <w:r>
        <w:rPr>
          <w:rFonts w:hint="eastAsia" w:ascii="宋体" w:hAnsi="宋体" w:eastAsia="宋体"/>
          <w:sz w:val="24"/>
          <w:highlight w:val="none"/>
        </w:rPr>
        <w:t>和程序</w:t>
      </w:r>
      <w:bookmarkEnd w:id="151"/>
      <w:bookmarkEnd w:id="152"/>
      <w:bookmarkEnd w:id="153"/>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240" w:firstLineChars="10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7"/>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7"/>
        <w:spacing w:line="360" w:lineRule="auto"/>
        <w:ind w:left="0" w:leftChars="0" w:firstLine="120" w:firstLineChars="50"/>
        <w:rPr>
          <w:rFonts w:hint="eastAsia" w:ascii="宋体" w:hAnsi="宋体"/>
          <w:bCs/>
          <w:iCs/>
          <w:sz w:val="24"/>
          <w:highlight w:val="none"/>
          <w:lang w:eastAsia="zh-CN"/>
        </w:rPr>
      </w:pPr>
      <w:r>
        <w:rPr>
          <w:rFonts w:hint="eastAsia" w:ascii="宋体" w:hAnsi="宋体"/>
          <w:bCs/>
          <w:iCs/>
          <w:sz w:val="24"/>
          <w:highlight w:val="none"/>
          <w:lang w:eastAsia="zh-CN"/>
        </w:rPr>
        <w:t>a）</w:t>
      </w:r>
      <w:r>
        <w:rPr>
          <w:rFonts w:hint="eastAsia" w:ascii="宋体" w:hAnsi="宋体"/>
          <w:color w:val="000000"/>
          <w:sz w:val="24"/>
          <w:highlight w:val="none"/>
          <w:lang w:val="en-US" w:eastAsia="zh-CN"/>
        </w:rPr>
        <w:t>被国家行政主管部门列入信用严重失信企业名单。</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获证客户出现重大的产品或服务质量重大事故、环境污染事故、职业健康安全事故等，经执法监管部门确认是获证客户违规造成。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pStyle w:val="7"/>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7"/>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7"/>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7"/>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7"/>
        <w:spacing w:line="360" w:lineRule="auto"/>
        <w:rPr>
          <w:rFonts w:hint="eastAsia" w:ascii="宋体" w:hAnsi="宋体"/>
          <w:bCs/>
          <w:iCs/>
          <w:sz w:val="24"/>
          <w:highlight w:val="none"/>
        </w:rPr>
      </w:pPr>
      <w:r>
        <w:rPr>
          <w:rFonts w:hint="eastAsia" w:ascii="宋体" w:hAnsi="宋体"/>
          <w:bCs/>
          <w:iCs/>
          <w:sz w:val="24"/>
          <w:highlight w:val="none"/>
        </w:rPr>
        <w:t>c) 获证客户不再生产体系覆盖内产品；</w:t>
      </w:r>
    </w:p>
    <w:p>
      <w:pPr>
        <w:pStyle w:val="7"/>
        <w:spacing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获证客户在认证范围内的组织单元、产品、服务及其过程和活动严重不能满足适用的最新法律法规和标准的要求，并在短期内无法采取措施或采取措施无效的；</w:t>
      </w:r>
    </w:p>
    <w:p>
      <w:pPr>
        <w:pStyle w:val="7"/>
        <w:spacing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7"/>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7"/>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获证客户发生了与质量、环境、职业健康安全等有关的重大事故，反映出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7"/>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获证客户产品质量出现严重质量问题，在短期内无法恢复符合性（QMS适用）</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7"/>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7"/>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7"/>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7"/>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7"/>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7"/>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7"/>
        <w:spacing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并公告，收回认证证书，认证客户不得再使用认证标志。</w:t>
      </w:r>
    </w:p>
    <w:p>
      <w:pPr>
        <w:pStyle w:val="2"/>
        <w:spacing w:line="600" w:lineRule="auto"/>
        <w:rPr>
          <w:rFonts w:hint="eastAsia" w:ascii="宋体" w:hAnsi="宋体"/>
          <w:highlight w:val="none"/>
        </w:rPr>
      </w:pPr>
      <w:bookmarkStart w:id="154" w:name="_Toc85103636"/>
      <w:bookmarkStart w:id="155" w:name="_Toc185325639"/>
      <w:bookmarkStart w:id="156" w:name="_Toc85105525"/>
      <w:bookmarkStart w:id="157" w:name="_Toc8695"/>
      <w:bookmarkStart w:id="158" w:name="_Toc85256261"/>
      <w:bookmarkStart w:id="159" w:name="_Toc19860"/>
      <w:bookmarkStart w:id="160" w:name="_Toc19746"/>
      <w:bookmarkStart w:id="161" w:name="_Toc28204"/>
      <w:r>
        <w:rPr>
          <w:rFonts w:hint="eastAsia" w:ascii="宋体" w:hAnsi="宋体"/>
          <w:highlight w:val="none"/>
          <w:lang w:val="en-US" w:eastAsia="zh-CN"/>
        </w:rPr>
        <w:t>11</w:t>
      </w:r>
      <w:r>
        <w:rPr>
          <w:rFonts w:hint="eastAsia" w:ascii="宋体" w:hAnsi="宋体"/>
          <w:highlight w:val="none"/>
        </w:rPr>
        <w:t xml:space="preserve"> 认证证书和认证标志</w:t>
      </w:r>
      <w:bookmarkEnd w:id="154"/>
      <w:bookmarkEnd w:id="155"/>
      <w:bookmarkEnd w:id="156"/>
      <w:bookmarkEnd w:id="157"/>
      <w:bookmarkEnd w:id="158"/>
      <w:bookmarkEnd w:id="159"/>
      <w:bookmarkEnd w:id="160"/>
      <w:bookmarkEnd w:id="161"/>
    </w:p>
    <w:p>
      <w:pPr>
        <w:pStyle w:val="3"/>
        <w:spacing w:before="0" w:after="0" w:line="360" w:lineRule="auto"/>
        <w:rPr>
          <w:rFonts w:hint="eastAsia" w:ascii="宋体" w:hAnsi="宋体" w:eastAsia="宋体"/>
          <w:sz w:val="24"/>
          <w:highlight w:val="none"/>
        </w:rPr>
      </w:pPr>
      <w:bookmarkStart w:id="162" w:name="_Toc444776347"/>
      <w:bookmarkStart w:id="163" w:name="_Toc85105526"/>
      <w:bookmarkStart w:id="164" w:name="_Toc185325640"/>
      <w:bookmarkStart w:id="165" w:name="_Toc85256262"/>
      <w:bookmarkStart w:id="166" w:name="_Toc85103637"/>
      <w:bookmarkStart w:id="167" w:name="_Toc15233"/>
      <w:r>
        <w:rPr>
          <w:rFonts w:hint="eastAsia" w:ascii="宋体" w:hAnsi="宋体" w:eastAsia="宋体"/>
          <w:sz w:val="24"/>
          <w:highlight w:val="none"/>
          <w:lang w:eastAsia="zh-CN"/>
        </w:rPr>
        <w:t>11</w:t>
      </w:r>
      <w:r>
        <w:rPr>
          <w:rFonts w:hint="eastAsia" w:ascii="宋体" w:hAnsi="宋体" w:eastAsia="宋体"/>
          <w:sz w:val="24"/>
          <w:highlight w:val="none"/>
        </w:rPr>
        <w:t>.1 认证证书和认证标志</w:t>
      </w:r>
      <w:bookmarkEnd w:id="162"/>
      <w:bookmarkEnd w:id="163"/>
      <w:bookmarkEnd w:id="164"/>
      <w:bookmarkEnd w:id="165"/>
      <w:bookmarkEnd w:id="166"/>
      <w:bookmarkEnd w:id="167"/>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.1.2 认证标志</w:t>
      </w:r>
    </w:p>
    <w:p>
      <w:pPr>
        <w:spacing w:line="360" w:lineRule="auto"/>
        <w:rPr>
          <w:rFonts w:hint="eastAsia" w:ascii="宋体" w:hAnsi="宋体"/>
          <w:sz w:val="24"/>
          <w:highlight w:val="none"/>
        </w:rPr>
      </w:pPr>
      <w:r>
        <w:rPr>
          <w:rFonts w:hint="eastAsia" w:ascii="宋体" w:hAnsi="宋体"/>
          <w:sz w:val="24"/>
          <w:highlight w:val="none"/>
        </w:rPr>
        <w:t xml:space="preserve"> </w:t>
      </w:r>
      <w:r>
        <w:rPr>
          <w:highlight w:val="none"/>
        </w:rPr>
        <w:drawing>
          <wp:anchor distT="0" distB="0" distL="114300" distR="114300" simplePos="0" relativeHeight="251662336" behindDoc="0" locked="0" layoutInCell="1" allowOverlap="1">
            <wp:simplePos x="0" y="0"/>
            <wp:positionH relativeFrom="column">
              <wp:posOffset>435610</wp:posOffset>
            </wp:positionH>
            <wp:positionV relativeFrom="paragraph">
              <wp:posOffset>79375</wp:posOffset>
            </wp:positionV>
            <wp:extent cx="685800" cy="685800"/>
            <wp:effectExtent l="0" t="0" r="0" b="0"/>
            <wp:wrapNone/>
            <wp:docPr id="2"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CQM-R"/>
                    <pic:cNvPicPr>
                      <a:picLocks noChangeAspect="true"/>
                    </pic:cNvPicPr>
                  </pic:nvPicPr>
                  <pic:blipFill>
                    <a:blip r:embed="rId13"/>
                    <a:stretch>
                      <a:fillRect/>
                    </a:stretch>
                  </pic:blipFill>
                  <pic:spPr>
                    <a:xfrm>
                      <a:off x="0" y="0"/>
                      <a:ext cx="685800" cy="685800"/>
                    </a:xfrm>
                    <a:prstGeom prst="rect">
                      <a:avLst/>
                    </a:prstGeom>
                    <a:noFill/>
                    <a:ln>
                      <a:noFill/>
                    </a:ln>
                  </pic:spPr>
                </pic:pic>
              </a:graphicData>
            </a:graphic>
          </wp:anchor>
        </w:drawing>
      </w:r>
    </w:p>
    <w:p>
      <w:pPr>
        <w:spacing w:line="360" w:lineRule="auto"/>
        <w:rPr>
          <w:rFonts w:hint="eastAsia" w:ascii="宋体" w:hAnsi="宋体"/>
          <w:sz w:val="24"/>
          <w:highlight w:val="none"/>
        </w:rPr>
      </w:pPr>
    </w:p>
    <w:p>
      <w:pPr>
        <w:spacing w:line="276" w:lineRule="auto"/>
        <w:rPr>
          <w:rFonts w:hint="eastAsia" w:ascii="宋体" w:hAnsi="宋体"/>
          <w:sz w:val="24"/>
          <w:highlight w:val="none"/>
        </w:rPr>
      </w:pPr>
      <w:r>
        <w:rPr>
          <w:rFonts w:hint="eastAsia" w:ascii="宋体" w:hAnsi="宋体"/>
          <w:sz w:val="24"/>
          <w:highlight w:val="none"/>
        </w:rPr>
        <w:t xml:space="preserve">  </w:t>
      </w:r>
    </w:p>
    <w:p>
      <w:pPr>
        <w:spacing w:line="276" w:lineRule="auto"/>
        <w:rPr>
          <w:rFonts w:hint="eastAsia" w:ascii="宋体" w:hAnsi="宋体"/>
          <w:szCs w:val="21"/>
          <w:highlight w:val="none"/>
        </w:rPr>
      </w:pPr>
      <w:r>
        <w:rPr>
          <w:rFonts w:hint="eastAsia" w:ascii="宋体" w:hAnsi="宋体"/>
          <w:sz w:val="24"/>
          <w:highlight w:val="none"/>
        </w:rPr>
        <w:t xml:space="preserve">      </w:t>
      </w:r>
    </w:p>
    <w:p>
      <w:pPr>
        <w:pStyle w:val="3"/>
        <w:spacing w:before="0" w:after="0" w:line="360" w:lineRule="auto"/>
        <w:rPr>
          <w:rFonts w:hint="eastAsia" w:ascii="宋体" w:hAnsi="宋体" w:eastAsia="宋体"/>
          <w:sz w:val="24"/>
          <w:highlight w:val="none"/>
        </w:rPr>
      </w:pPr>
      <w:bookmarkStart w:id="168" w:name="_Toc85105527"/>
      <w:bookmarkStart w:id="169" w:name="_Toc7122"/>
      <w:bookmarkStart w:id="170" w:name="_Toc85256263"/>
      <w:bookmarkStart w:id="171" w:name="_Toc444776348"/>
      <w:bookmarkStart w:id="172" w:name="_Toc185325641"/>
      <w:r>
        <w:rPr>
          <w:rFonts w:hint="eastAsia" w:ascii="宋体" w:hAnsi="宋体" w:eastAsia="宋体"/>
          <w:sz w:val="24"/>
          <w:highlight w:val="none"/>
          <w:lang w:eastAsia="zh-CN"/>
        </w:rPr>
        <w:t>11</w:t>
      </w:r>
      <w:r>
        <w:rPr>
          <w:rFonts w:hint="eastAsia" w:ascii="宋体" w:hAnsi="宋体" w:eastAsia="宋体"/>
          <w:sz w:val="24"/>
          <w:highlight w:val="none"/>
        </w:rPr>
        <w:t>.2 认证证书和认证标志的使用</w:t>
      </w:r>
      <w:bookmarkEnd w:id="168"/>
      <w:bookmarkEnd w:id="169"/>
      <w:bookmarkEnd w:id="170"/>
      <w:bookmarkEnd w:id="171"/>
      <w:bookmarkEnd w:id="172"/>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highlight w:val="none"/>
          <w:lang w:eastAsia="zh-CN"/>
        </w:rPr>
      </w:pPr>
      <w:bookmarkStart w:id="173" w:name="_Toc85256264"/>
      <w:bookmarkStart w:id="174" w:name="_Toc444776349"/>
      <w:bookmarkStart w:id="175" w:name="_Toc85105528"/>
      <w:bookmarkStart w:id="176" w:name="_Toc85103638"/>
      <w:bookmarkStart w:id="177" w:name="_Toc30404"/>
      <w:bookmarkStart w:id="178" w:name="_Toc185325642"/>
      <w:r>
        <w:rPr>
          <w:rFonts w:hint="eastAsia" w:ascii="宋体" w:hAnsi="宋体" w:eastAsia="宋体"/>
          <w:sz w:val="24"/>
          <w:highlight w:val="none"/>
          <w:lang w:eastAsia="zh-CN"/>
        </w:rPr>
        <w:t>11</w:t>
      </w:r>
      <w:r>
        <w:rPr>
          <w:rFonts w:hint="eastAsia" w:ascii="宋体" w:hAnsi="宋体" w:eastAsia="宋体"/>
          <w:sz w:val="24"/>
          <w:highlight w:val="none"/>
        </w:rPr>
        <w:t>.3 认证证书和认证标志的误用</w:t>
      </w:r>
      <w:bookmarkEnd w:id="173"/>
      <w:bookmarkEnd w:id="174"/>
      <w:bookmarkEnd w:id="175"/>
      <w:bookmarkEnd w:id="176"/>
      <w:bookmarkEnd w:id="177"/>
      <w:bookmarkEnd w:id="178"/>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79" w:name="_Toc33599596"/>
      <w:bookmarkStart w:id="180" w:name="_Toc33600430"/>
      <w:bookmarkStart w:id="181" w:name="_Toc33600386"/>
      <w:bookmarkStart w:id="182" w:name="_Toc33599723"/>
    </w:p>
    <w:bookmarkEnd w:id="179"/>
    <w:bookmarkEnd w:id="180"/>
    <w:bookmarkEnd w:id="181"/>
    <w:bookmarkEnd w:id="182"/>
    <w:p>
      <w:pPr>
        <w:pStyle w:val="2"/>
        <w:spacing w:line="600" w:lineRule="auto"/>
        <w:rPr>
          <w:rFonts w:hint="eastAsia" w:ascii="宋体" w:hAnsi="宋体"/>
          <w:highlight w:val="none"/>
        </w:rPr>
      </w:pPr>
      <w:bookmarkStart w:id="183" w:name="_Toc17325"/>
      <w:bookmarkStart w:id="184" w:name="_Toc7464"/>
      <w:bookmarkStart w:id="185" w:name="_Toc25232"/>
      <w:bookmarkStart w:id="186" w:name="_Toc185325643"/>
      <w:bookmarkStart w:id="187" w:name="_Toc25355"/>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bookmarkEnd w:id="183"/>
      <w:bookmarkEnd w:id="184"/>
      <w:bookmarkEnd w:id="185"/>
      <w:bookmarkEnd w:id="186"/>
      <w:bookmarkEnd w:id="187"/>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产品标准；       </w:t>
      </w:r>
    </w:p>
    <w:p>
      <w:pPr>
        <w:numPr>
          <w:ilvl w:val="0"/>
          <w:numId w:val="24"/>
        </w:numPr>
        <w:spacing w:line="360" w:lineRule="auto"/>
        <w:rPr>
          <w:rFonts w:hint="eastAsia"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hint="eastAsia" w:ascii="宋体" w:hAnsi="宋体"/>
          <w:sz w:val="24"/>
          <w:highlight w:val="none"/>
        </w:rPr>
      </w:pPr>
      <w:bookmarkStart w:id="188" w:name="_Toc33600434"/>
      <w:bookmarkStart w:id="189" w:name="_Toc33600390"/>
      <w:bookmarkStart w:id="190" w:name="_Toc33599727"/>
      <w:bookmarkStart w:id="191" w:name="_Toc33599600"/>
      <w:r>
        <w:rPr>
          <w:rFonts w:hint="eastAsia" w:ascii="宋体" w:hAnsi="宋体"/>
          <w:sz w:val="24"/>
          <w:highlight w:val="none"/>
        </w:rPr>
        <w:t>当上述信息发生变更时，获证客户应填写《获证组织认证信息变更</w:t>
      </w:r>
      <w:r>
        <w:rPr>
          <w:rFonts w:hint="eastAsia" w:ascii="宋体" w:hAnsi="宋体"/>
          <w:sz w:val="24"/>
          <w:highlight w:val="none"/>
          <w:lang w:val="en-US" w:eastAsia="zh-CN"/>
        </w:rPr>
        <w:t>申请表</w:t>
      </w:r>
      <w:r>
        <w:rPr>
          <w:rFonts w:hint="eastAsia" w:ascii="宋体" w:hAnsi="宋体"/>
          <w:sz w:val="24"/>
          <w:highlight w:val="none"/>
        </w:rPr>
        <w:t>》，并及时反馈给CQM。变更信息反馈渠道及联系信息详见《获证组织认证信息变更</w:t>
      </w:r>
      <w:r>
        <w:rPr>
          <w:rFonts w:hint="eastAsia" w:ascii="宋体" w:hAnsi="宋体"/>
          <w:sz w:val="24"/>
          <w:highlight w:val="none"/>
          <w:lang w:val="en-US" w:eastAsia="zh-CN"/>
        </w:rPr>
        <w:t>申请表</w:t>
      </w:r>
      <w:r>
        <w:rPr>
          <w:rFonts w:hint="eastAsia" w:ascii="宋体" w:hAnsi="宋体"/>
          <w:sz w:val="24"/>
          <w:highlight w:val="none"/>
        </w:rPr>
        <w:t>》中的联系。</w:t>
      </w:r>
    </w:p>
    <w:bookmarkEnd w:id="188"/>
    <w:bookmarkEnd w:id="189"/>
    <w:bookmarkEnd w:id="190"/>
    <w:bookmarkEnd w:id="191"/>
    <w:p>
      <w:pPr>
        <w:pStyle w:val="2"/>
        <w:spacing w:line="600" w:lineRule="auto"/>
        <w:rPr>
          <w:rFonts w:hint="eastAsia" w:ascii="宋体" w:hAnsi="宋体"/>
          <w:highlight w:val="none"/>
          <w:lang w:eastAsia="zh-CN"/>
        </w:rPr>
      </w:pPr>
      <w:bookmarkStart w:id="192" w:name="_Toc33599740"/>
      <w:bookmarkStart w:id="193" w:name="_Toc33600447"/>
      <w:bookmarkStart w:id="194" w:name="_Toc33600403"/>
      <w:bookmarkStart w:id="195" w:name="_Toc33599613"/>
      <w:bookmarkStart w:id="196" w:name="_Toc85105535"/>
      <w:bookmarkStart w:id="197" w:name="_Toc85103645"/>
      <w:bookmarkStart w:id="198" w:name="_Toc85256271"/>
      <w:bookmarkStart w:id="199" w:name="_Toc185325644"/>
      <w:bookmarkStart w:id="200" w:name="_Toc12794"/>
      <w:bookmarkStart w:id="201" w:name="_Toc3941"/>
      <w:bookmarkStart w:id="202" w:name="_Toc12709"/>
      <w:bookmarkStart w:id="203" w:name="_Toc23702"/>
      <w:r>
        <w:rPr>
          <w:rFonts w:hint="eastAsia" w:ascii="宋体" w:hAnsi="宋体"/>
          <w:highlight w:val="none"/>
          <w:lang w:val="en-US" w:eastAsia="zh-CN"/>
        </w:rPr>
        <w:t>13</w:t>
      </w:r>
      <w:r>
        <w:rPr>
          <w:rFonts w:hint="eastAsia" w:ascii="宋体" w:hAnsi="宋体"/>
          <w:highlight w:val="none"/>
        </w:rPr>
        <w:t xml:space="preserve"> 认证要求</w:t>
      </w:r>
      <w:bookmarkEnd w:id="192"/>
      <w:bookmarkEnd w:id="193"/>
      <w:bookmarkEnd w:id="194"/>
      <w:bookmarkEnd w:id="195"/>
      <w:r>
        <w:rPr>
          <w:rFonts w:hint="eastAsia" w:ascii="宋体" w:hAnsi="宋体"/>
          <w:highlight w:val="none"/>
        </w:rPr>
        <w:t>变更</w:t>
      </w:r>
      <w:bookmarkEnd w:id="196"/>
      <w:bookmarkEnd w:id="197"/>
      <w:bookmarkEnd w:id="198"/>
      <w:bookmarkEnd w:id="199"/>
      <w:r>
        <w:rPr>
          <w:rFonts w:hint="eastAsia" w:ascii="宋体" w:hAnsi="宋体"/>
          <w:highlight w:val="none"/>
          <w:lang w:eastAsia="zh-CN"/>
        </w:rPr>
        <w:t>的条件和程序</w:t>
      </w:r>
      <w:bookmarkEnd w:id="200"/>
      <w:bookmarkEnd w:id="201"/>
      <w:bookmarkEnd w:id="202"/>
      <w:bookmarkEnd w:id="203"/>
    </w:p>
    <w:p>
      <w:pPr>
        <w:pStyle w:val="3"/>
        <w:spacing w:before="0" w:after="0" w:line="360" w:lineRule="auto"/>
        <w:rPr>
          <w:rFonts w:hint="eastAsia" w:ascii="宋体" w:hAnsi="宋体" w:eastAsia="宋体"/>
          <w:sz w:val="24"/>
          <w:highlight w:val="none"/>
        </w:rPr>
      </w:pPr>
      <w:bookmarkStart w:id="204" w:name="_Toc29140"/>
      <w:bookmarkStart w:id="205" w:name="_Toc444776352"/>
      <w:r>
        <w:rPr>
          <w:rFonts w:hint="eastAsia" w:ascii="宋体" w:hAnsi="宋体" w:eastAsia="宋体"/>
          <w:sz w:val="24"/>
          <w:highlight w:val="none"/>
          <w:lang w:eastAsia="zh-CN"/>
        </w:rPr>
        <w:t>13</w:t>
      </w:r>
      <w:r>
        <w:rPr>
          <w:rFonts w:hint="eastAsia" w:ascii="宋体" w:hAnsi="宋体" w:eastAsia="宋体"/>
          <w:sz w:val="24"/>
          <w:highlight w:val="none"/>
        </w:rPr>
        <w:t>.1 认证要求变更的条件</w:t>
      </w:r>
      <w:bookmarkEnd w:id="204"/>
      <w:bookmarkEnd w:id="205"/>
    </w:p>
    <w:p>
      <w:pPr>
        <w:numPr>
          <w:ilvl w:val="0"/>
          <w:numId w:val="25"/>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5"/>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5"/>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5"/>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highlight w:val="none"/>
          <w:lang w:eastAsia="zh-CN"/>
        </w:rPr>
      </w:pPr>
      <w:bookmarkStart w:id="206" w:name="_Toc444776353"/>
      <w:bookmarkStart w:id="207" w:name="_Toc8942"/>
      <w:r>
        <w:rPr>
          <w:rFonts w:hint="eastAsia" w:ascii="宋体" w:hAnsi="宋体" w:eastAsia="宋体"/>
          <w:sz w:val="24"/>
          <w:highlight w:val="none"/>
          <w:lang w:eastAsia="zh-CN"/>
        </w:rPr>
        <w:t>13</w:t>
      </w:r>
      <w:r>
        <w:rPr>
          <w:rFonts w:hint="eastAsia" w:ascii="宋体" w:hAnsi="宋体" w:eastAsia="宋体"/>
          <w:sz w:val="24"/>
          <w:highlight w:val="none"/>
        </w:rPr>
        <w:t>.</w:t>
      </w:r>
      <w:r>
        <w:rPr>
          <w:rFonts w:hint="eastAsia" w:ascii="宋体" w:hAnsi="宋体" w:eastAsia="宋体"/>
          <w:sz w:val="24"/>
          <w:highlight w:val="none"/>
          <w:lang w:eastAsia="zh-CN"/>
        </w:rPr>
        <w:t>2</w:t>
      </w:r>
      <w:r>
        <w:rPr>
          <w:rFonts w:hint="eastAsia" w:ascii="宋体" w:hAnsi="宋体" w:eastAsia="宋体"/>
          <w:sz w:val="24"/>
          <w:highlight w:val="none"/>
        </w:rPr>
        <w:t xml:space="preserve"> 认证要求变更的</w:t>
      </w:r>
      <w:r>
        <w:rPr>
          <w:rFonts w:hint="eastAsia" w:ascii="宋体" w:hAnsi="宋体" w:eastAsia="宋体"/>
          <w:sz w:val="24"/>
          <w:highlight w:val="none"/>
          <w:lang w:eastAsia="zh-CN"/>
        </w:rPr>
        <w:t>程序</w:t>
      </w:r>
      <w:bookmarkEnd w:id="206"/>
      <w:bookmarkEnd w:id="207"/>
    </w:p>
    <w:p>
      <w:pPr>
        <w:numPr>
          <w:ilvl w:val="0"/>
          <w:numId w:val="26"/>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w:t>
      </w:r>
      <w:r>
        <w:rPr>
          <w:rFonts w:hint="eastAsia" w:ascii="宋体" w:hAnsi="宋体"/>
          <w:sz w:val="24"/>
          <w:highlight w:val="none"/>
          <w:lang w:val="en-US" w:eastAsia="zh-CN"/>
        </w:rPr>
        <w:t>日</w:t>
      </w:r>
      <w:r>
        <w:rPr>
          <w:rFonts w:hint="eastAsia" w:ascii="宋体" w:hAnsi="宋体"/>
          <w:sz w:val="24"/>
          <w:highlight w:val="none"/>
        </w:rPr>
        <w:t>；</w:t>
      </w:r>
    </w:p>
    <w:p>
      <w:pPr>
        <w:numPr>
          <w:ilvl w:val="0"/>
          <w:numId w:val="26"/>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6"/>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spacing w:line="600" w:lineRule="auto"/>
        <w:rPr>
          <w:rFonts w:hint="eastAsia" w:ascii="宋体" w:hAnsi="宋体"/>
          <w:highlight w:val="none"/>
        </w:rPr>
      </w:pPr>
      <w:bookmarkStart w:id="208" w:name="_Toc19165"/>
      <w:bookmarkStart w:id="209" w:name="_Toc33600404"/>
      <w:bookmarkStart w:id="210" w:name="_Toc33599741"/>
      <w:bookmarkStart w:id="211" w:name="_Toc185325645"/>
      <w:bookmarkStart w:id="212" w:name="_Toc85105536"/>
      <w:bookmarkStart w:id="213" w:name="_Toc27959"/>
      <w:bookmarkStart w:id="214" w:name="_Toc85256272"/>
      <w:bookmarkStart w:id="215" w:name="_Toc5049"/>
      <w:bookmarkStart w:id="216" w:name="_Toc12089"/>
      <w:bookmarkStart w:id="217" w:name="_Toc33599614"/>
      <w:bookmarkStart w:id="218" w:name="_Toc85103646"/>
      <w:bookmarkStart w:id="219" w:name="_Toc33600448"/>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208"/>
      <w:bookmarkEnd w:id="209"/>
      <w:bookmarkEnd w:id="210"/>
      <w:bookmarkEnd w:id="211"/>
      <w:bookmarkEnd w:id="212"/>
      <w:bookmarkEnd w:id="213"/>
      <w:bookmarkEnd w:id="214"/>
      <w:bookmarkEnd w:id="215"/>
      <w:bookmarkEnd w:id="216"/>
      <w:bookmarkEnd w:id="217"/>
      <w:bookmarkEnd w:id="218"/>
      <w:bookmarkEnd w:id="219"/>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220" w:name="_Toc33600449"/>
      <w:bookmarkStart w:id="221" w:name="_Toc33600405"/>
      <w:bookmarkStart w:id="222" w:name="_Toc33599615"/>
      <w:bookmarkStart w:id="223" w:name="_Toc33599742"/>
    </w:p>
    <w:bookmarkEnd w:id="220"/>
    <w:bookmarkEnd w:id="221"/>
    <w:bookmarkEnd w:id="222"/>
    <w:bookmarkEnd w:id="223"/>
    <w:p>
      <w:pPr>
        <w:pStyle w:val="2"/>
        <w:spacing w:line="600" w:lineRule="auto"/>
        <w:rPr>
          <w:rFonts w:hint="eastAsia" w:ascii="宋体" w:hAnsi="宋体"/>
          <w:highlight w:val="none"/>
        </w:rPr>
      </w:pPr>
      <w:bookmarkStart w:id="224" w:name="_Toc85256273"/>
      <w:bookmarkStart w:id="225" w:name="_Toc28099"/>
      <w:bookmarkStart w:id="226" w:name="_Toc15689"/>
      <w:bookmarkStart w:id="227" w:name="_Toc5129"/>
      <w:bookmarkStart w:id="228" w:name="_Toc185325646"/>
      <w:bookmarkStart w:id="229" w:name="_Toc26172"/>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224"/>
      <w:bookmarkEnd w:id="225"/>
      <w:bookmarkEnd w:id="226"/>
      <w:bookmarkEnd w:id="227"/>
      <w:bookmarkEnd w:id="228"/>
      <w:bookmarkEnd w:id="229"/>
    </w:p>
    <w:p>
      <w:pPr>
        <w:pStyle w:val="12"/>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600" w:lineRule="auto"/>
        <w:rPr>
          <w:rFonts w:hint="eastAsia" w:ascii="宋体" w:hAnsi="宋体"/>
          <w:highlight w:val="none"/>
        </w:rPr>
      </w:pPr>
      <w:bookmarkStart w:id="230" w:name="_Toc85105541"/>
      <w:bookmarkStart w:id="231" w:name="_Toc25826"/>
      <w:bookmarkStart w:id="232" w:name="_Toc2379"/>
      <w:bookmarkStart w:id="233" w:name="_Toc85103651"/>
      <w:bookmarkStart w:id="234" w:name="_Toc23946"/>
      <w:bookmarkStart w:id="235" w:name="_Toc85256274"/>
      <w:bookmarkStart w:id="236" w:name="_Toc185325647"/>
      <w:bookmarkStart w:id="237" w:name="_Toc20325"/>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230"/>
      <w:bookmarkEnd w:id="231"/>
      <w:bookmarkEnd w:id="232"/>
      <w:bookmarkEnd w:id="233"/>
      <w:bookmarkEnd w:id="234"/>
      <w:bookmarkEnd w:id="235"/>
      <w:bookmarkEnd w:id="236"/>
      <w:bookmarkEnd w:id="237"/>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实施本方案的费用，按CQM《管理体系认证收费管理规则》执行。</w:t>
      </w:r>
      <w:bookmarkStart w:id="238" w:name="_Toc33599745"/>
      <w:bookmarkStart w:id="239" w:name="_Toc33599618"/>
      <w:bookmarkStart w:id="240" w:name="_Toc33600452"/>
      <w:bookmarkStart w:id="241" w:name="_Toc33600408"/>
    </w:p>
    <w:p>
      <w:pPr>
        <w:pStyle w:val="2"/>
        <w:spacing w:line="600" w:lineRule="auto"/>
        <w:rPr>
          <w:rFonts w:hint="eastAsia"/>
          <w:highlight w:val="none"/>
        </w:rPr>
      </w:pPr>
      <w:bookmarkStart w:id="242" w:name="_Toc6700"/>
      <w:bookmarkStart w:id="243" w:name="_Toc22659"/>
      <w:bookmarkStart w:id="244" w:name="_Toc85103652"/>
      <w:bookmarkStart w:id="245" w:name="_Toc85105542"/>
      <w:bookmarkStart w:id="246" w:name="_Toc31324"/>
      <w:bookmarkStart w:id="247" w:name="_Toc3880"/>
      <w:bookmarkStart w:id="248" w:name="_Toc85256275"/>
      <w:bookmarkStart w:id="249" w:name="_Toc185325648"/>
      <w:r>
        <w:rPr>
          <w:rFonts w:hint="eastAsia"/>
          <w:highlight w:val="none"/>
        </w:rPr>
        <w:t>1</w:t>
      </w:r>
      <w:r>
        <w:rPr>
          <w:rFonts w:hint="eastAsia"/>
          <w:highlight w:val="none"/>
          <w:lang w:val="en-US" w:eastAsia="zh-CN"/>
        </w:rPr>
        <w:t>7</w:t>
      </w:r>
      <w:r>
        <w:rPr>
          <w:rFonts w:hint="eastAsia"/>
          <w:highlight w:val="none"/>
        </w:rPr>
        <w:t xml:space="preserve"> 公告</w:t>
      </w:r>
      <w:bookmarkEnd w:id="238"/>
      <w:bookmarkEnd w:id="239"/>
      <w:bookmarkEnd w:id="240"/>
      <w:bookmarkEnd w:id="241"/>
      <w:bookmarkEnd w:id="242"/>
      <w:bookmarkEnd w:id="243"/>
      <w:bookmarkEnd w:id="244"/>
      <w:bookmarkEnd w:id="245"/>
      <w:bookmarkEnd w:id="246"/>
      <w:bookmarkEnd w:id="247"/>
      <w:bookmarkEnd w:id="248"/>
      <w:bookmarkEnd w:id="249"/>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bookmarkStart w:id="250" w:name="_Toc33600409"/>
      <w:bookmarkStart w:id="251" w:name="_Toc33599746"/>
      <w:bookmarkStart w:id="252" w:name="_Toc33599619"/>
      <w:bookmarkStart w:id="253" w:name="_Toc33600453"/>
    </w:p>
    <w:p>
      <w:pPr>
        <w:pStyle w:val="2"/>
        <w:spacing w:line="600" w:lineRule="auto"/>
        <w:rPr>
          <w:rFonts w:hint="eastAsia"/>
          <w:highlight w:val="none"/>
        </w:rPr>
      </w:pPr>
      <w:bookmarkStart w:id="254" w:name="_Toc185325649"/>
      <w:bookmarkStart w:id="255" w:name="_Toc19101"/>
      <w:bookmarkStart w:id="256" w:name="_Toc16460"/>
      <w:bookmarkStart w:id="257" w:name="_Toc25035"/>
      <w:bookmarkStart w:id="258" w:name="_Toc17238"/>
      <w:bookmarkStart w:id="259" w:name="_Toc85256276"/>
      <w:bookmarkStart w:id="260" w:name="_Toc85105543"/>
      <w:bookmarkStart w:id="261" w:name="_Toc85103653"/>
      <w:r>
        <w:rPr>
          <w:rFonts w:hint="eastAsia"/>
          <w:highlight w:val="none"/>
        </w:rPr>
        <w:t>1</w:t>
      </w:r>
      <w:r>
        <w:rPr>
          <w:rFonts w:hint="eastAsia"/>
          <w:highlight w:val="none"/>
          <w:lang w:val="en-US" w:eastAsia="zh-CN"/>
        </w:rPr>
        <w:t>8</w:t>
      </w:r>
      <w:r>
        <w:rPr>
          <w:rFonts w:hint="eastAsia"/>
          <w:highlight w:val="none"/>
        </w:rPr>
        <w:t xml:space="preserve"> 附则</w:t>
      </w:r>
      <w:bookmarkEnd w:id="250"/>
      <w:bookmarkEnd w:id="251"/>
      <w:bookmarkEnd w:id="252"/>
      <w:bookmarkEnd w:id="253"/>
      <w:bookmarkEnd w:id="254"/>
      <w:bookmarkEnd w:id="255"/>
      <w:bookmarkEnd w:id="256"/>
      <w:bookmarkEnd w:id="257"/>
      <w:bookmarkEnd w:id="258"/>
      <w:bookmarkEnd w:id="259"/>
      <w:bookmarkEnd w:id="260"/>
      <w:bookmarkEnd w:id="261"/>
    </w:p>
    <w:p>
      <w:pPr>
        <w:spacing w:line="360" w:lineRule="auto"/>
        <w:ind w:firstLine="480"/>
        <w:rPr>
          <w:rFonts w:hint="eastAsia"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highlight w:val="none"/>
        </w:rPr>
      </w:pPr>
    </w:p>
    <w:bookmarkEnd w:id="264"/>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通讯地址：</w:t>
          </w:r>
        </w:p>
        <w:p>
          <w:pPr>
            <w:pStyle w:val="9"/>
            <w:ind w:left="-108"/>
            <w:jc w:val="both"/>
          </w:pPr>
          <w:r>
            <w:rPr>
              <w:rFonts w:hint="eastAsia"/>
            </w:rPr>
            <w:t>电话：</w:t>
          </w:r>
        </w:p>
        <w:p>
          <w:pPr>
            <w:pStyle w:val="9"/>
            <w:ind w:left="-108"/>
            <w:jc w:val="both"/>
          </w:pPr>
          <w:r>
            <w:rPr>
              <w:rFonts w:hint="eastAsia"/>
            </w:rPr>
            <w:t>传真：</w:t>
          </w:r>
        </w:p>
        <w:p>
          <w:pPr>
            <w:pStyle w:val="9"/>
            <w:ind w:left="-108"/>
            <w:jc w:val="both"/>
          </w:pPr>
          <w:r>
            <w:rPr>
              <w:rFonts w:hint="eastAsia"/>
            </w:rPr>
            <w:t>网址：</w:t>
          </w:r>
        </w:p>
        <w:p>
          <w:pPr>
            <w:pStyle w:val="9"/>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北京市海淀区增光路33号</w:t>
          </w:r>
          <w:r>
            <w:t>(</w:t>
          </w:r>
          <w:r>
            <w:rPr>
              <w:rFonts w:hint="eastAsia"/>
            </w:rPr>
            <w:t>100048</w:t>
          </w:r>
          <w:r>
            <w:t>)</w:t>
          </w:r>
        </w:p>
        <w:p>
          <w:pPr>
            <w:pStyle w:val="9"/>
            <w:ind w:left="-108"/>
            <w:jc w:val="both"/>
          </w:pPr>
          <w:r>
            <w:rPr>
              <w:rFonts w:hint="eastAsia"/>
            </w:rPr>
            <w:t>（010）88411888（总机）</w:t>
          </w:r>
        </w:p>
        <w:p>
          <w:pPr>
            <w:pStyle w:val="9"/>
            <w:ind w:left="-108"/>
            <w:jc w:val="both"/>
          </w:pPr>
          <w:r>
            <w:rPr>
              <w:rFonts w:hint="eastAsia"/>
            </w:rPr>
            <w:t>（010）88414325</w:t>
          </w:r>
        </w:p>
        <w:p>
          <w:pPr>
            <w:pStyle w:val="9"/>
            <w:jc w:val="both"/>
          </w:pPr>
          <w:r>
            <w:t>http://</w:t>
          </w:r>
          <w:r>
            <w:rPr>
              <w:rFonts w:hint="eastAsia"/>
            </w:rPr>
            <w:t>www.</w:t>
          </w:r>
          <w:r>
            <w:t>cqm.</w:t>
          </w:r>
          <w:r>
            <w:rPr>
              <w:rFonts w:hint="eastAsia"/>
            </w:rPr>
            <w:t>com.</w:t>
          </w:r>
          <w:r>
            <w:t>cn/</w:t>
          </w:r>
        </w:p>
        <w:p>
          <w:pPr>
            <w:pStyle w:val="9"/>
            <w:jc w:val="both"/>
          </w:pPr>
          <w:r>
            <w:t>cqm@cqm.com.cn</w:t>
          </w:r>
        </w:p>
      </w:tc>
      <w:tc>
        <w:tcPr>
          <w:tcW w:w="1620" w:type="dxa"/>
          <w:tcBorders>
            <w:top w:val="thinThickSmallGap" w:color="002071" w:sz="18" w:space="0"/>
            <w:left w:val="nil"/>
            <w:bottom w:val="nil"/>
            <w:right w:val="nil"/>
          </w:tcBorders>
          <w:vAlign w:val="top"/>
        </w:tcPr>
        <w:p>
          <w:pPr>
            <w:pStyle w:val="9"/>
            <w:jc w:val="both"/>
          </w:pPr>
        </w:p>
        <w:p>
          <w:pPr>
            <w:pStyle w:val="9"/>
            <w:jc w:val="both"/>
          </w:pPr>
          <w:r>
            <w:rPr>
              <w:rFonts w:hint="eastAsia"/>
            </w:rPr>
            <w:t xml:space="preserve">文件编号： </w:t>
          </w:r>
        </w:p>
        <w:p>
          <w:pPr>
            <w:pStyle w:val="9"/>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9"/>
            <w:jc w:val="both"/>
          </w:pPr>
        </w:p>
        <w:p>
          <w:pPr>
            <w:pStyle w:val="9"/>
            <w:jc w:val="both"/>
            <w:rPr>
              <w:rFonts w:hint="eastAsia"/>
              <w:lang w:eastAsia="zh-CN"/>
            </w:rPr>
          </w:pPr>
          <w:r>
            <w:t>CQM/S-</w:t>
          </w:r>
          <w:r>
            <w:rPr>
              <w:rFonts w:hint="eastAsia"/>
              <w:lang w:eastAsia="zh-CN"/>
            </w:rPr>
            <w:t>FN-00-001</w:t>
          </w:r>
        </w:p>
        <w:p>
          <w:pPr>
            <w:pStyle w:val="9"/>
            <w:jc w:val="both"/>
          </w:pPr>
          <w:r>
            <w:rPr>
              <w:rFonts w:hint="eastAsia"/>
            </w:rPr>
            <w:t>20</w:t>
          </w:r>
          <w:r>
            <w:rPr>
              <w:rFonts w:hint="eastAsia"/>
              <w:lang w:eastAsia="zh-CN"/>
            </w:rPr>
            <w:t>16</w:t>
          </w:r>
          <w:r>
            <w:rPr>
              <w:rFonts w:hint="eastAsia"/>
            </w:rPr>
            <w:t>年01月01日</w:t>
          </w:r>
        </w:p>
        <w:p>
          <w:pPr>
            <w:pStyle w:val="9"/>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9"/>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9"/>
            <w:jc w:val="both"/>
          </w:pPr>
          <w:r>
            <w:rPr>
              <w:rFonts w:hint="eastAsia"/>
            </w:rPr>
            <w:t xml:space="preserve">第 </w:t>
          </w:r>
          <w:r>
            <w:rPr>
              <w:rFonts w:hint="eastAsia"/>
              <w:lang w:val="en-US" w:eastAsia="zh-CN"/>
            </w:rPr>
            <w:t>1</w:t>
          </w:r>
          <w:r>
            <w:rPr>
              <w:rFonts w:hint="eastAsia"/>
            </w:rPr>
            <w:t xml:space="preserve"> </w:t>
          </w:r>
          <w:r>
            <w:rPr>
              <w:rStyle w:val="17"/>
              <w:rFonts w:hint="eastAsia"/>
            </w:rPr>
            <w:t xml:space="preserve">页  共 </w:t>
          </w:r>
          <w:r>
            <w:rPr>
              <w:rStyle w:val="17"/>
              <w:rFonts w:hint="eastAsia"/>
              <w:lang w:eastAsia="zh-CN"/>
            </w:rPr>
            <w:t>20</w:t>
          </w:r>
          <w:r>
            <w:rPr>
              <w:rStyle w:val="17"/>
              <w:rFonts w:hint="eastAsia"/>
            </w:rPr>
            <w:t xml:space="preserve"> 页</w:t>
          </w:r>
        </w:p>
      </w:tc>
    </w:tr>
  </w:tbl>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通讯地址：</w:t>
          </w:r>
        </w:p>
        <w:p>
          <w:pPr>
            <w:pStyle w:val="9"/>
            <w:ind w:left="-108"/>
            <w:jc w:val="both"/>
          </w:pPr>
          <w:r>
            <w:rPr>
              <w:rFonts w:hint="eastAsia"/>
            </w:rPr>
            <w:t>电话：</w:t>
          </w:r>
        </w:p>
        <w:p>
          <w:pPr>
            <w:pStyle w:val="9"/>
            <w:ind w:left="-108"/>
            <w:jc w:val="both"/>
          </w:pPr>
          <w:r>
            <w:rPr>
              <w:rFonts w:hint="eastAsia"/>
            </w:rPr>
            <w:t>传真：</w:t>
          </w:r>
        </w:p>
        <w:p>
          <w:pPr>
            <w:pStyle w:val="9"/>
            <w:ind w:left="-108"/>
            <w:jc w:val="both"/>
          </w:pPr>
          <w:r>
            <w:rPr>
              <w:rFonts w:hint="eastAsia"/>
            </w:rPr>
            <w:t>网址：</w:t>
          </w:r>
        </w:p>
        <w:p>
          <w:pPr>
            <w:pStyle w:val="9"/>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北京市海淀区增光路33号</w:t>
          </w:r>
          <w:r>
            <w:t>(</w:t>
          </w:r>
          <w:r>
            <w:rPr>
              <w:rFonts w:hint="eastAsia"/>
            </w:rPr>
            <w:t>100048</w:t>
          </w:r>
          <w:r>
            <w:t>)</w:t>
          </w:r>
        </w:p>
        <w:p>
          <w:pPr>
            <w:pStyle w:val="9"/>
            <w:ind w:left="-108"/>
            <w:jc w:val="both"/>
          </w:pPr>
          <w:r>
            <w:rPr>
              <w:rFonts w:hint="eastAsia"/>
            </w:rPr>
            <w:t>（010）88411888（总机）</w:t>
          </w:r>
        </w:p>
        <w:p>
          <w:pPr>
            <w:pStyle w:val="9"/>
            <w:ind w:left="-108"/>
            <w:jc w:val="both"/>
          </w:pPr>
          <w:r>
            <w:rPr>
              <w:rFonts w:hint="eastAsia"/>
            </w:rPr>
            <w:t>（010）88414325</w:t>
          </w:r>
        </w:p>
        <w:p>
          <w:pPr>
            <w:pStyle w:val="9"/>
            <w:jc w:val="both"/>
          </w:pPr>
          <w:r>
            <w:t>http://</w:t>
          </w:r>
          <w:r>
            <w:rPr>
              <w:rFonts w:hint="eastAsia"/>
            </w:rPr>
            <w:t>www.</w:t>
          </w:r>
          <w:r>
            <w:t>cqm.</w:t>
          </w:r>
          <w:r>
            <w:rPr>
              <w:rFonts w:hint="eastAsia"/>
            </w:rPr>
            <w:t>com.</w:t>
          </w:r>
          <w:r>
            <w:t>cn/</w:t>
          </w:r>
        </w:p>
        <w:p>
          <w:pPr>
            <w:pStyle w:val="9"/>
            <w:jc w:val="both"/>
          </w:pPr>
          <w:r>
            <w:t>cqm@cqm.com.cn</w:t>
          </w:r>
        </w:p>
      </w:tc>
      <w:tc>
        <w:tcPr>
          <w:tcW w:w="1231" w:type="dxa"/>
          <w:tcBorders>
            <w:top w:val="thinThickSmallGap" w:color="002071" w:sz="18" w:space="0"/>
            <w:left w:val="nil"/>
            <w:bottom w:val="nil"/>
            <w:right w:val="nil"/>
          </w:tcBorders>
          <w:vAlign w:val="top"/>
        </w:tcPr>
        <w:p>
          <w:pPr>
            <w:pStyle w:val="9"/>
            <w:jc w:val="both"/>
          </w:pPr>
        </w:p>
        <w:p>
          <w:pPr>
            <w:pStyle w:val="9"/>
            <w:jc w:val="both"/>
          </w:pPr>
          <w:r>
            <w:rPr>
              <w:rFonts w:hint="eastAsia"/>
            </w:rPr>
            <w:t xml:space="preserve">文件编号： </w:t>
          </w:r>
        </w:p>
        <w:p>
          <w:pPr>
            <w:pStyle w:val="9"/>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9"/>
            <w:jc w:val="both"/>
          </w:pPr>
        </w:p>
        <w:p>
          <w:pPr>
            <w:pStyle w:val="9"/>
            <w:jc w:val="both"/>
            <w:rPr>
              <w:rFonts w:hint="eastAsia"/>
              <w:lang w:eastAsia="zh-CN"/>
            </w:rPr>
          </w:pPr>
          <w:r>
            <w:t>CQM/S-</w:t>
          </w:r>
          <w:r>
            <w:rPr>
              <w:rFonts w:hint="eastAsia"/>
              <w:lang w:eastAsia="zh-CN"/>
            </w:rPr>
            <w:t>FN-00-001</w:t>
          </w:r>
        </w:p>
        <w:p>
          <w:pPr>
            <w:pStyle w:val="9"/>
            <w:jc w:val="both"/>
          </w:pPr>
          <w:r>
            <w:rPr>
              <w:rFonts w:hint="eastAsia"/>
            </w:rPr>
            <w:t>20</w:t>
          </w:r>
          <w:r>
            <w:rPr>
              <w:rFonts w:hint="eastAsia"/>
              <w:lang w:eastAsia="zh-CN"/>
            </w:rPr>
            <w:t>16</w:t>
          </w:r>
          <w:r>
            <w:rPr>
              <w:rFonts w:hint="eastAsia"/>
            </w:rPr>
            <w:t>年01月01日</w:t>
          </w:r>
        </w:p>
        <w:p>
          <w:pPr>
            <w:pStyle w:val="9"/>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13</w:t>
          </w:r>
          <w:r>
            <w:rPr>
              <w:rFonts w:hint="eastAsia"/>
            </w:rPr>
            <w:t>日</w:t>
          </w:r>
        </w:p>
        <w:p>
          <w:pPr>
            <w:pStyle w:val="9"/>
            <w:jc w:val="both"/>
          </w:pP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9"/>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23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9"/>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23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13</w:t>
          </w:r>
          <w:r>
            <w:rPr>
              <w:rFonts w:hint="eastAsia"/>
            </w:rPr>
            <w:t>日</w:t>
          </w:r>
        </w:p>
      </w:tc>
    </w:tr>
  </w:tbl>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0"/>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8890" b="63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8890" b="63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4">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5">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1BA13020"/>
    <w:multiLevelType w:val="multilevel"/>
    <w:tmpl w:val="1BA13020"/>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8">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9">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1">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4">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5">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6">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7">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8">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9">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0">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1">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2">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4">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5">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6"/>
  </w:num>
  <w:num w:numId="2">
    <w:abstractNumId w:val="1"/>
  </w:num>
  <w:num w:numId="3">
    <w:abstractNumId w:val="9"/>
  </w:num>
  <w:num w:numId="4">
    <w:abstractNumId w:val="0"/>
  </w:num>
  <w:num w:numId="5">
    <w:abstractNumId w:val="17"/>
  </w:num>
  <w:num w:numId="6">
    <w:abstractNumId w:val="14"/>
  </w:num>
  <w:num w:numId="7">
    <w:abstractNumId w:val="19"/>
  </w:num>
  <w:num w:numId="8">
    <w:abstractNumId w:val="18"/>
  </w:num>
  <w:num w:numId="9">
    <w:abstractNumId w:val="22"/>
  </w:num>
  <w:num w:numId="10">
    <w:abstractNumId w:val="16"/>
  </w:num>
  <w:num w:numId="11">
    <w:abstractNumId w:val="7"/>
  </w:num>
  <w:num w:numId="12">
    <w:abstractNumId w:val="3"/>
  </w:num>
  <w:num w:numId="13">
    <w:abstractNumId w:val="23"/>
  </w:num>
  <w:num w:numId="14">
    <w:abstractNumId w:val="13"/>
  </w:num>
  <w:num w:numId="15">
    <w:abstractNumId w:val="8"/>
  </w:num>
  <w:num w:numId="16">
    <w:abstractNumId w:val="2"/>
  </w:num>
  <w:num w:numId="17">
    <w:abstractNumId w:val="21"/>
  </w:num>
  <w:num w:numId="18">
    <w:abstractNumId w:val="5"/>
  </w:num>
  <w:num w:numId="19">
    <w:abstractNumId w:val="20"/>
  </w:num>
  <w:num w:numId="20">
    <w:abstractNumId w:val="11"/>
  </w:num>
  <w:num w:numId="21">
    <w:abstractNumId w:val="4"/>
  </w:num>
  <w:num w:numId="22">
    <w:abstractNumId w:val="24"/>
  </w:num>
  <w:num w:numId="23">
    <w:abstractNumId w:val="10"/>
  </w:num>
  <w:num w:numId="24">
    <w:abstractNumId w:val="25"/>
  </w:num>
  <w:num w:numId="25">
    <w:abstractNumId w:val="1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0d9b3861-a90b-4d0c-b070-65361032d8b4"/>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4746E7E"/>
    <w:rsid w:val="066E2140"/>
    <w:rsid w:val="0743701D"/>
    <w:rsid w:val="078C29F9"/>
    <w:rsid w:val="0A701D39"/>
    <w:rsid w:val="120C3966"/>
    <w:rsid w:val="133D2F1E"/>
    <w:rsid w:val="15D860E5"/>
    <w:rsid w:val="18CF0341"/>
    <w:rsid w:val="1C83676D"/>
    <w:rsid w:val="1F0F4603"/>
    <w:rsid w:val="1F1E48D5"/>
    <w:rsid w:val="20F2221A"/>
    <w:rsid w:val="247C75A9"/>
    <w:rsid w:val="260A38EC"/>
    <w:rsid w:val="27EF7BAF"/>
    <w:rsid w:val="2C950D6C"/>
    <w:rsid w:val="30673F30"/>
    <w:rsid w:val="33756BF4"/>
    <w:rsid w:val="34070D19"/>
    <w:rsid w:val="361E55E6"/>
    <w:rsid w:val="3E44221A"/>
    <w:rsid w:val="3FFD0DD2"/>
    <w:rsid w:val="40685C31"/>
    <w:rsid w:val="41E07776"/>
    <w:rsid w:val="43E64E77"/>
    <w:rsid w:val="496A0F2A"/>
    <w:rsid w:val="53FE314A"/>
    <w:rsid w:val="541E1033"/>
    <w:rsid w:val="5A5A0E47"/>
    <w:rsid w:val="5B567260"/>
    <w:rsid w:val="5B6B1486"/>
    <w:rsid w:val="5CE51A2D"/>
    <w:rsid w:val="5D5C0A0C"/>
    <w:rsid w:val="60465003"/>
    <w:rsid w:val="61095CDB"/>
    <w:rsid w:val="672B1E81"/>
    <w:rsid w:val="696D0F78"/>
    <w:rsid w:val="6B3B477B"/>
    <w:rsid w:val="74B4085B"/>
    <w:rsid w:val="76983ABD"/>
    <w:rsid w:val="76C447BE"/>
    <w:rsid w:val="799A7B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5"/>
    <w:basedOn w:val="1"/>
    <w:next w:val="1"/>
    <w:qFormat/>
    <w:uiPriority w:val="0"/>
    <w:pPr>
      <w:keepNext/>
      <w:jc w:val="center"/>
      <w:outlineLvl w:val="4"/>
    </w:pPr>
    <w:rPr>
      <w:rFonts w:ascii="黑体" w:eastAsia="黑体"/>
      <w:sz w:val="72"/>
      <w:szCs w:val="21"/>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0"/>
    <w:pPr>
      <w:jc w:val="left"/>
    </w:pPr>
  </w:style>
  <w:style w:type="paragraph" w:styleId="6">
    <w:name w:val="Body Text Indent"/>
    <w:basedOn w:val="1"/>
    <w:qFormat/>
    <w:uiPriority w:val="0"/>
    <w:pPr>
      <w:widowControl/>
      <w:ind w:firstLine="560" w:firstLineChars="200"/>
      <w:jc w:val="left"/>
    </w:pPr>
    <w:rPr>
      <w:rFonts w:ascii="宋体" w:hAnsi="宋体"/>
      <w:color w:val="000000"/>
      <w:sz w:val="28"/>
      <w:szCs w:val="33"/>
    </w:rPr>
  </w:style>
  <w:style w:type="paragraph" w:styleId="7">
    <w:name w:val="Body Text Indent 2"/>
    <w:basedOn w:val="1"/>
    <w:qFormat/>
    <w:uiPriority w:val="0"/>
    <w:pPr>
      <w:spacing w:after="120" w:line="480" w:lineRule="auto"/>
      <w:ind w:left="420" w:leftChars="200"/>
    </w:pPr>
  </w:style>
  <w:style w:type="paragraph" w:styleId="8">
    <w:name w:val="Balloon Text"/>
    <w:basedOn w:val="1"/>
    <w:link w:val="19"/>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2">
    <w:name w:val="Body Text Indent 3"/>
    <w:basedOn w:val="1"/>
    <w:qFormat/>
    <w:uiPriority w:val="0"/>
    <w:pPr>
      <w:spacing w:after="120"/>
      <w:ind w:left="420" w:leftChars="200"/>
    </w:pPr>
    <w:rPr>
      <w:sz w:val="16"/>
      <w:szCs w:val="16"/>
    </w:rPr>
  </w:style>
  <w:style w:type="paragraph" w:styleId="13">
    <w:name w:val="toc 2"/>
    <w:basedOn w:val="1"/>
    <w:next w:val="1"/>
    <w:semiHidden/>
    <w:unhideWhenUsed/>
    <w:qFormat/>
    <w:uiPriority w:val="0"/>
    <w:pPr>
      <w:ind w:left="420" w:leftChars="200"/>
    </w:p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character" w:styleId="17">
    <w:name w:val="page number"/>
    <w:basedOn w:val="16"/>
    <w:qFormat/>
    <w:uiPriority w:val="0"/>
  </w:style>
  <w:style w:type="character" w:styleId="18">
    <w:name w:val="Hyperlink"/>
    <w:basedOn w:val="16"/>
    <w:qFormat/>
    <w:uiPriority w:val="0"/>
    <w:rPr>
      <w:color w:val="0000FF"/>
      <w:u w:val="single"/>
    </w:rPr>
  </w:style>
  <w:style w:type="character" w:customStyle="1" w:styleId="19">
    <w:name w:val="批注框文本 Char"/>
    <w:basedOn w:val="16"/>
    <w:link w:val="8"/>
    <w:qFormat/>
    <w:uiPriority w:val="0"/>
    <w:rPr>
      <w:kern w:val="2"/>
      <w:sz w:val="18"/>
      <w:szCs w:val="18"/>
    </w:rPr>
  </w:style>
  <w:style w:type="paragraph" w:customStyle="1" w:styleId="20">
    <w:name w:val="标题2"/>
    <w:basedOn w:val="1"/>
    <w:qFormat/>
    <w:uiPriority w:val="0"/>
    <w:pPr>
      <w:spacing w:line="360" w:lineRule="auto"/>
    </w:pPr>
    <w:rPr>
      <w:rFonts w:ascii="宋体" w:hAnsi="宋体"/>
      <w:b/>
      <w:sz w:val="24"/>
    </w:rPr>
  </w:style>
  <w:style w:type="paragraph" w:customStyle="1" w:styleId="21">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2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24</Pages>
  <Words>12853</Words>
  <Characters>13750</Characters>
  <Lines>5</Lines>
  <Paragraphs>1</Paragraphs>
  <TotalTime>10</TotalTime>
  <ScaleCrop>false</ScaleCrop>
  <LinksUpToDate>false</LinksUpToDate>
  <CharactersWithSpaces>14039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2025-09-11T12:06:15Z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07D93864BBE644F8BAB61A1A33719621_13</vt:lpwstr>
  </property>
  <property fmtid="{D5CDD505-2E9C-101B-9397-08002B2CF9AE}" pid="4" name="KSOTemplateDocerSaveRecord">
    <vt:lpwstr>eyJoZGlkIjoiYjRhYzhlNzdlMGRlZDMzMmNhYjA5YmRjZjkxY2QwZTAiLCJ1c2VySWQiOiIxNDk1NTAzODM5In0=</vt:lpwstr>
  </property>
</Properties>
</file>