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74"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ascii="黑体" w:hAnsi="黑体" w:eastAsia="黑体"/>
                                <w:b w:val="0"/>
                                <w:sz w:val="52"/>
                                <w:szCs w:val="52"/>
                              </w:rPr>
                            </w:pPr>
                            <w:bookmarkStart w:id="172" w:name="_Toc440007486"/>
                            <w:bookmarkStart w:id="173" w:name="_Toc444776325"/>
                            <w:r>
                              <w:rPr>
                                <w:rFonts w:hint="eastAsia" w:ascii="黑体" w:hAnsi="Times New Roman" w:eastAsia="黑体" w:cs="Times New Roman"/>
                                <w:b w:val="0"/>
                                <w:bCs w:val="0"/>
                                <w:color w:val="002071"/>
                                <w:kern w:val="2"/>
                                <w:sz w:val="52"/>
                                <w:szCs w:val="52"/>
                                <w:lang w:val="en-US" w:eastAsia="zh-CN" w:bidi="ar-SA"/>
                              </w:rPr>
                              <w:t>合规管理体系认证实施方案</w:t>
                            </w:r>
                            <w:bookmarkEnd w:id="172"/>
                            <w:bookmarkEnd w:id="173"/>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ascii="黑体" w:hAnsi="黑体" w:eastAsia="黑体"/>
                          <w:b w:val="0"/>
                          <w:sz w:val="52"/>
                          <w:szCs w:val="52"/>
                        </w:rPr>
                      </w:pPr>
                      <w:bookmarkStart w:id="172" w:name="_Toc440007486"/>
                      <w:bookmarkStart w:id="173" w:name="_Toc444776325"/>
                      <w:r>
                        <w:rPr>
                          <w:rFonts w:hint="eastAsia" w:ascii="黑体" w:hAnsi="Times New Roman" w:eastAsia="黑体" w:cs="Times New Roman"/>
                          <w:b w:val="0"/>
                          <w:bCs w:val="0"/>
                          <w:color w:val="002071"/>
                          <w:kern w:val="2"/>
                          <w:sz w:val="52"/>
                          <w:szCs w:val="52"/>
                          <w:lang w:val="en-US" w:eastAsia="zh-CN" w:bidi="ar-SA"/>
                        </w:rPr>
                        <w:t>合规管理体系认证实施方案</w:t>
                      </w:r>
                      <w:bookmarkEnd w:id="172"/>
                      <w:bookmarkEnd w:id="173"/>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CQM/S-FN-24-023</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2022年04月02日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w:t>
            </w:r>
            <w:r>
              <w:rPr>
                <w:rFonts w:hint="eastAsia" w:ascii="隶书" w:hAnsi="思源黑体 CN Medium" w:eastAsia="隶书" w:cs="思源黑体 CN Medium"/>
                <w:color w:val="002071"/>
                <w:sz w:val="28"/>
                <w:szCs w:val="15"/>
                <w:highlight w:val="none"/>
                <w:lang w:val="en-US" w:eastAsia="zh-CN"/>
              </w:rPr>
              <w:t>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w:t>
            </w:r>
            <w:r>
              <w:rPr>
                <w:rFonts w:hint="eastAsia" w:ascii="隶书" w:hAnsi="思源黑体 CN Medium" w:eastAsia="隶书" w:cs="思源黑体 CN Medium"/>
                <w:color w:val="002071"/>
                <w:sz w:val="28"/>
                <w:szCs w:val="15"/>
                <w:highlight w:val="none"/>
                <w:lang w:val="en-US" w:eastAsia="zh-CN"/>
              </w:rPr>
              <w:t>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598904"/>
      <w:bookmarkStart w:id="1" w:name="_Toc33598533"/>
      <w:bookmarkStart w:id="2" w:name="_Toc33599706"/>
      <w:bookmarkStart w:id="3" w:name="_Toc33598964"/>
      <w:bookmarkStart w:id="4" w:name="_Toc33600413"/>
      <w:bookmarkStart w:id="5" w:name="_Toc33599579"/>
      <w:bookmarkStart w:id="6" w:name="_Toc33600364"/>
    </w:p>
    <w:bookmarkEnd w:id="0"/>
    <w:bookmarkEnd w:id="1"/>
    <w:bookmarkEnd w:id="2"/>
    <w:bookmarkEnd w:id="3"/>
    <w:bookmarkEnd w:id="4"/>
    <w:bookmarkEnd w:id="5"/>
    <w:bookmarkEnd w:id="6"/>
    <w:p>
      <w:pPr>
        <w:ind w:firstLine="602" w:firstLineChars="200"/>
        <w:jc w:val="center"/>
        <w:rPr>
          <w:b/>
          <w:bCs/>
          <w:sz w:val="30"/>
          <w:highlight w:val="none"/>
        </w:rPr>
      </w:pPr>
      <w:r>
        <w:rPr>
          <w:rFonts w:hint="eastAsia"/>
          <w:b/>
          <w:bCs/>
          <w:sz w:val="30"/>
          <w:highlight w:val="none"/>
        </w:rPr>
        <w:t>目    录</w:t>
      </w: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_Toc5948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_Toc5948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_Toc15027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_Toc15027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_Toc14761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_Toc14761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_Toc31525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_Toc31525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_Toc19530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_Toc19530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_Toc26109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_Toc26109 \h </w:instrText>
      </w:r>
      <w:r>
        <w:rPr>
          <w:highlight w:val="none"/>
        </w:rPr>
        <w:fldChar w:fldCharType="separate"/>
      </w:r>
      <w:r>
        <w:rPr>
          <w:highlight w:val="none"/>
        </w:rPr>
        <w:t>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_Toc18357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_Toc18357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_Toc21387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_Toc21387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_Toc9405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_Toc9405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_Toc31733 </w:instrText>
      </w:r>
      <w:r>
        <w:rPr>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认证的批准、拒绝、保持、扩大、缩小、暂停、恢复和撤销的条件和程序</w:t>
      </w:r>
      <w:r>
        <w:rPr>
          <w:highlight w:val="none"/>
        </w:rPr>
        <w:tab/>
      </w:r>
      <w:r>
        <w:rPr>
          <w:highlight w:val="none"/>
        </w:rPr>
        <w:fldChar w:fldCharType="begin"/>
      </w:r>
      <w:r>
        <w:rPr>
          <w:highlight w:val="none"/>
        </w:rPr>
        <w:instrText xml:space="preserve"> PAGEREF _Toc31733 \h </w:instrText>
      </w:r>
      <w:r>
        <w:rPr>
          <w:highlight w:val="none"/>
        </w:rPr>
        <w:fldChar w:fldCharType="separate"/>
      </w:r>
      <w:r>
        <w:rPr>
          <w:highlight w:val="none"/>
        </w:rPr>
        <w:t>11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_Toc23310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_Toc23310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_Toc32752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_Toc32752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_Toc14712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_Toc14712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_Toc2122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_Toc2122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_Toc3522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_Toc3522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_Toc15104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_Toc15104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_Toc5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_Toc31144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_Toc31144 \h </w:instrText>
      </w:r>
      <w:r>
        <w:rPr>
          <w:highlight w:val="none"/>
        </w:rPr>
        <w:fldChar w:fldCharType="separate"/>
      </w:r>
      <w:r>
        <w:rPr>
          <w:highlight w:val="none"/>
        </w:rPr>
        <w:t>22</w:t>
      </w:r>
      <w:r>
        <w:rPr>
          <w:highlight w:val="none"/>
        </w:rPr>
        <w:fldChar w:fldCharType="end"/>
      </w:r>
      <w:r>
        <w:rPr>
          <w:highlight w:val="none"/>
        </w:rPr>
        <w:fldChar w:fldCharType="end"/>
      </w: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outlineLvl w:val="9"/>
        <w:rPr>
          <w:rFonts w:ascii="黑体" w:hAnsi="黑体" w:eastAsia="黑体"/>
          <w:b w:val="0"/>
          <w:sz w:val="48"/>
          <w:szCs w:val="48"/>
          <w:highlight w:val="none"/>
        </w:rPr>
      </w:pPr>
      <w:bookmarkStart w:id="7" w:name="_Toc13945"/>
      <w:bookmarkStart w:id="8" w:name="_Toc18059"/>
      <w:bookmarkStart w:id="9" w:name="_Toc440007487"/>
      <w:bookmarkStart w:id="10" w:name="_Toc444776326"/>
      <w:bookmarkStart w:id="11" w:name="_Toc28380"/>
      <w:bookmarkStart w:id="12" w:name="_Toc37"/>
      <w:r>
        <w:rPr>
          <w:rFonts w:hint="eastAsia" w:ascii="黑体" w:hAnsi="黑体" w:eastAsia="黑体"/>
          <w:b w:val="0"/>
          <w:sz w:val="36"/>
          <w:szCs w:val="36"/>
          <w:highlight w:val="none"/>
        </w:rPr>
        <w:t>合规管理体系认证实施方案</w:t>
      </w:r>
      <w:bookmarkEnd w:id="7"/>
      <w:bookmarkEnd w:id="8"/>
      <w:bookmarkEnd w:id="9"/>
      <w:bookmarkEnd w:id="10"/>
      <w:bookmarkEnd w:id="11"/>
      <w:bookmarkEnd w:id="12"/>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13" w:name="_Toc5948"/>
      <w:bookmarkStart w:id="14" w:name="_Toc85105511"/>
      <w:bookmarkStart w:id="15" w:name="_Toc85103622"/>
      <w:bookmarkStart w:id="16" w:name="_Toc185325622"/>
      <w:bookmarkStart w:id="17" w:name="_Toc85256247"/>
      <w:bookmarkStart w:id="18" w:name="_Toc9826"/>
      <w:bookmarkStart w:id="19" w:name="_Toc32420"/>
      <w:r>
        <w:rPr>
          <w:highlight w:val="none"/>
        </w:rPr>
        <w:t>1</w:t>
      </w:r>
      <w:r>
        <w:rPr>
          <w:rFonts w:hint="eastAsia"/>
          <w:highlight w:val="none"/>
        </w:rPr>
        <w:t xml:space="preserve"> 适用范围</w:t>
      </w:r>
      <w:bookmarkEnd w:id="13"/>
      <w:bookmarkEnd w:id="14"/>
      <w:bookmarkEnd w:id="15"/>
      <w:bookmarkEnd w:id="16"/>
      <w:bookmarkEnd w:id="17"/>
      <w:bookmarkEnd w:id="18"/>
      <w:bookmarkEnd w:id="19"/>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本认证方案适用于方圆标志认证集团有限公司（以下简称：CQM）实施合规管理体系认证，满足第三方认证制度要求，作为提供认证服务的规范。必要时，在认证合同中补充相关的技术要求。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20" w:name="_Toc85105512"/>
      <w:bookmarkStart w:id="21" w:name="_Toc33598902"/>
      <w:bookmarkStart w:id="22" w:name="_Toc85103623"/>
      <w:bookmarkStart w:id="23" w:name="_Toc33598962"/>
      <w:bookmarkStart w:id="24" w:name="_Toc33598531"/>
      <w:bookmarkStart w:id="25" w:name="_Toc33599704"/>
      <w:bookmarkStart w:id="26" w:name="_Toc85256248"/>
      <w:bookmarkStart w:id="27" w:name="_Toc33600411"/>
      <w:bookmarkStart w:id="28" w:name="_Toc33599577"/>
      <w:bookmarkStart w:id="29" w:name="_Toc33600362"/>
    </w:p>
    <w:p>
      <w:pPr>
        <w:spacing w:line="360" w:lineRule="auto"/>
        <w:ind w:firstLine="480" w:firstLineChars="200"/>
        <w:rPr>
          <w:sz w:val="24"/>
          <w:highlight w:val="none"/>
        </w:rPr>
      </w:pPr>
    </w:p>
    <w:p>
      <w:pPr>
        <w:pStyle w:val="2"/>
        <w:spacing w:line="360" w:lineRule="auto"/>
        <w:rPr>
          <w:highlight w:val="none"/>
        </w:rPr>
      </w:pPr>
      <w:bookmarkStart w:id="30" w:name="_Toc17149"/>
      <w:bookmarkStart w:id="31" w:name="_Toc185325623"/>
      <w:bookmarkStart w:id="32" w:name="_Toc23821"/>
      <w:bookmarkStart w:id="33" w:name="_Toc15027"/>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sz w:val="24"/>
          <w:highlight w:val="none"/>
        </w:rPr>
        <w:t>GB/T 35770-2022/ISO 37301: 2021《合规管理体系 要求及使用指南》</w:t>
      </w:r>
      <w:r>
        <w:rPr>
          <w:rFonts w:hint="eastAsia" w:ascii="宋体" w:hAnsi="宋体"/>
          <w:sz w:val="24"/>
          <w:highlight w:val="none"/>
          <w:lang w:eastAsia="zh-CN"/>
        </w:rPr>
        <w:t>。</w:t>
      </w:r>
    </w:p>
    <w:p>
      <w:pPr>
        <w:spacing w:line="360" w:lineRule="auto"/>
        <w:ind w:firstLine="480" w:firstLineChars="200"/>
        <w:rPr>
          <w:rFonts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34" w:name="_Toc14761"/>
      <w:bookmarkStart w:id="35" w:name="_Toc4248"/>
      <w:bookmarkStart w:id="36" w:name="_Toc185325624"/>
      <w:bookmarkStart w:id="37" w:name="_Toc85103624"/>
      <w:bookmarkStart w:id="38" w:name="_Toc85105513"/>
      <w:bookmarkStart w:id="39" w:name="_Toc85256249"/>
      <w:bookmarkStart w:id="40" w:name="_Toc12624"/>
      <w:r>
        <w:rPr>
          <w:highlight w:val="none"/>
        </w:rPr>
        <w:drawing>
          <wp:anchor distT="0" distB="0" distL="114300" distR="114300" simplePos="0" relativeHeight="251661312" behindDoc="0" locked="0" layoutInCell="1" allowOverlap="1">
            <wp:simplePos x="0" y="0"/>
            <wp:positionH relativeFrom="column">
              <wp:posOffset>1468755</wp:posOffset>
            </wp:positionH>
            <wp:positionV relativeFrom="paragraph">
              <wp:posOffset>222885</wp:posOffset>
            </wp:positionV>
            <wp:extent cx="3105150" cy="3921125"/>
            <wp:effectExtent l="0" t="0" r="0" b="3175"/>
            <wp:wrapNone/>
            <wp:docPr id="3"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对象 26"/>
                    <pic:cNvPicPr>
                      <a:picLocks noChangeAspect="true"/>
                    </pic:cNvPicPr>
                  </pic:nvPicPr>
                  <pic:blipFill>
                    <a:blip r:embed="rId11"/>
                    <a:stretch>
                      <a:fillRect/>
                    </a:stretch>
                  </pic:blipFill>
                  <pic:spPr>
                    <a:xfrm>
                      <a:off x="0" y="0"/>
                      <a:ext cx="3105150" cy="3921125"/>
                    </a:xfrm>
                    <a:prstGeom prst="rect">
                      <a:avLst/>
                    </a:prstGeom>
                    <a:noFill/>
                    <a:ln>
                      <a:noFill/>
                    </a:ln>
                  </pic:spPr>
                </pic:pic>
              </a:graphicData>
            </a:graphic>
          </wp:anchor>
        </w:drawing>
      </w:r>
      <w:r>
        <w:rPr>
          <w:rFonts w:hint="eastAsia"/>
          <w:highlight w:val="none"/>
        </w:rPr>
        <w:t>3 认证过程流程图</w:t>
      </w:r>
      <w:bookmarkEnd w:id="34"/>
      <w:bookmarkEnd w:id="35"/>
      <w:bookmarkEnd w:id="36"/>
      <w:bookmarkEnd w:id="37"/>
      <w:bookmarkEnd w:id="38"/>
      <w:bookmarkEnd w:id="39"/>
      <w:bookmarkEnd w:id="40"/>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highlight w:val="none"/>
        </w:rPr>
      </w:pPr>
      <w:bookmarkStart w:id="41" w:name="_Toc85256250"/>
      <w:bookmarkStart w:id="42" w:name="_Toc33600363"/>
      <w:bookmarkStart w:id="43" w:name="_Toc33598903"/>
      <w:bookmarkStart w:id="44" w:name="_Toc85103625"/>
      <w:bookmarkStart w:id="45" w:name="_Toc33598963"/>
      <w:bookmarkStart w:id="46" w:name="_Toc15986"/>
      <w:bookmarkStart w:id="47" w:name="_Toc33598532"/>
      <w:bookmarkStart w:id="48" w:name="_Toc33600412"/>
      <w:bookmarkStart w:id="49" w:name="_Toc13377"/>
      <w:bookmarkStart w:id="50" w:name="_Toc33599705"/>
      <w:bookmarkStart w:id="51" w:name="_Toc33599578"/>
      <w:bookmarkStart w:id="52" w:name="_Toc185325625"/>
      <w:bookmarkStart w:id="53" w:name="_Toc85105514"/>
      <w:bookmarkStart w:id="54" w:name="_Toc31525"/>
      <w:r>
        <w:rPr>
          <w:rFonts w:hint="eastAsia"/>
          <w:highlight w:val="none"/>
        </w:rPr>
        <w:t>4 认证申请</w:t>
      </w:r>
      <w:bookmarkEnd w:id="41"/>
      <w:bookmarkEnd w:id="42"/>
      <w:bookmarkEnd w:id="43"/>
      <w:bookmarkEnd w:id="44"/>
      <w:bookmarkEnd w:id="45"/>
      <w:bookmarkEnd w:id="46"/>
      <w:bookmarkEnd w:id="47"/>
      <w:bookmarkEnd w:id="48"/>
      <w:bookmarkEnd w:id="49"/>
      <w:bookmarkEnd w:id="50"/>
      <w:bookmarkEnd w:id="51"/>
      <w:bookmarkEnd w:id="52"/>
      <w:bookmarkEnd w:id="53"/>
      <w:r>
        <w:rPr>
          <w:rFonts w:hint="eastAsia"/>
          <w:highlight w:val="none"/>
          <w:lang w:val="en-US" w:eastAsia="zh-CN"/>
        </w:rPr>
        <w:t>及评审</w:t>
      </w:r>
      <w:bookmarkEnd w:id="54"/>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 xml:space="preserve">认证客户具有明确的法律地位,客户具有企业营业执照、事业单位法人证书、社会团体登记证书、非企业法人登记证书等，可独立申请认证。其他类型的客户，应由具备资格的单位代为申请； </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国家、地方或行业有要求时，认证客户具有规定的行政许可文件,其申请认证范围应在法律地位文件和行政许可文件核准的范围内；</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按相关的管理体系标准建立了文件化的管理体系。初次认证现场审核前已至少持续稳定运行了3个月，至少已实施一次完整的内审和管理评审或已编制实施计划，并承诺在证书有效期内，持续有效运行管理体系；</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认证客户在一年内，未发生质量、环境、职业健康安全事故或被执法监管部门责令停业整顿或在全国企业信用信息公示系统中被列入“严重违法企业名单”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hAnsi="宋体"/>
          <w:sz w:val="24"/>
          <w:szCs w:val="24"/>
          <w:highlight w:val="none"/>
        </w:rPr>
        <w:t>或违反国家相关法规，虚报、瞒报获证所需信息的情况；</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认证客户承诺获得CQM认证后，按规定使用认证证书和认证标志和有关信息，不得擅自利用管理体系认证证书的文字、符号误导公众认为其产品或服务通过认证按合同支付认证费用，并按规定接受监督；</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获得CQM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认证审核期间，认证客户能够提供与拟认证范围相关的活动或过程；</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在有要求时，接受CNAS的见证评审及确认审核并提供必要的支持。</w:t>
      </w:r>
    </w:p>
    <w:p>
      <w:pPr>
        <w:spacing w:line="360" w:lineRule="auto"/>
        <w:rPr>
          <w:rFonts w:ascii="宋体" w:hAnsi="宋体" w:cs="宋体"/>
          <w:b/>
          <w:sz w:val="24"/>
          <w:highlight w:val="none"/>
        </w:rPr>
      </w:pPr>
      <w:r>
        <w:rPr>
          <w:rFonts w:hint="eastAsia" w:ascii="宋体" w:hAnsi="宋体" w:cs="宋体"/>
          <w:b/>
          <w:sz w:val="24"/>
          <w:highlight w:val="none"/>
        </w:rPr>
        <w:t>4.2不予受理认证申请的情形</w:t>
      </w:r>
    </w:p>
    <w:p>
      <w:pPr>
        <w:pStyle w:val="5"/>
        <w:numPr>
          <w:ilvl w:val="0"/>
          <w:numId w:val="2"/>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认证客户申请的认证范围超出法律地位文件和行政认可文件核准的范围内的；</w:t>
      </w:r>
    </w:p>
    <w:p>
      <w:pPr>
        <w:pStyle w:val="5"/>
        <w:numPr>
          <w:ilvl w:val="0"/>
          <w:numId w:val="2"/>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认证客户不满足4.1中其他相关要求或近一年内发生其他违反国家法律法规、行业规定的情形。</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4.3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5" w:name="_Toc31362"/>
      <w:bookmarkStart w:id="56" w:name="_Toc9070"/>
      <w:bookmarkStart w:id="57" w:name="_Toc3502"/>
      <w:bookmarkStart w:id="58" w:name="_Toc32057"/>
      <w:bookmarkStart w:id="59" w:name="_Toc19530"/>
      <w:r>
        <w:rPr>
          <w:rFonts w:hint="eastAsia" w:ascii="宋体" w:hAnsi="宋体"/>
          <w:color w:val="auto"/>
          <w:highlight w:val="none"/>
          <w:lang w:val="en-US" w:eastAsia="zh-CN"/>
        </w:rPr>
        <w:t xml:space="preserve">5 </w:t>
      </w:r>
      <w:bookmarkEnd w:id="55"/>
      <w:bookmarkEnd w:id="56"/>
      <w:bookmarkEnd w:id="57"/>
      <w:r>
        <w:rPr>
          <w:rFonts w:hint="eastAsia" w:ascii="宋体" w:hAnsi="宋体"/>
          <w:color w:val="auto"/>
          <w:highlight w:val="none"/>
          <w:lang w:val="en-US" w:eastAsia="zh-CN"/>
        </w:rPr>
        <w:t>审核方案策划</w:t>
      </w:r>
      <w:bookmarkEnd w:id="58"/>
      <w:bookmarkEnd w:id="59"/>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numPr>
          <w:ilvl w:val="255"/>
          <w:numId w:val="0"/>
        </w:numPr>
        <w:spacing w:line="360" w:lineRule="auto"/>
        <w:rPr>
          <w:rFonts w:ascii="宋体" w:hAnsi="宋体" w:cs="宋体"/>
          <w:sz w:val="24"/>
          <w:highlight w:val="none"/>
        </w:rPr>
      </w:pPr>
    </w:p>
    <w:p>
      <w:pPr>
        <w:pStyle w:val="2"/>
        <w:spacing w:line="360" w:lineRule="auto"/>
        <w:rPr>
          <w:rFonts w:ascii="宋体" w:hAnsi="宋体"/>
          <w:highlight w:val="none"/>
        </w:rPr>
      </w:pPr>
      <w:bookmarkStart w:id="60" w:name="_Toc12336"/>
      <w:bookmarkStart w:id="61" w:name="_Toc32662"/>
      <w:bookmarkStart w:id="62" w:name="_Toc185325626"/>
      <w:bookmarkStart w:id="63" w:name="_Toc26109"/>
      <w:r>
        <w:rPr>
          <w:rFonts w:hint="eastAsia" w:ascii="宋体" w:hAnsi="宋体"/>
          <w:highlight w:val="none"/>
          <w:lang w:val="en-US" w:eastAsia="zh-CN"/>
        </w:rPr>
        <w:t>6</w:t>
      </w:r>
      <w:r>
        <w:rPr>
          <w:rFonts w:hint="eastAsia" w:ascii="宋体" w:hAnsi="宋体"/>
          <w:highlight w:val="none"/>
        </w:rPr>
        <w:t xml:space="preserve"> 审核实施</w:t>
      </w:r>
      <w:bookmarkEnd w:id="60"/>
      <w:bookmarkEnd w:id="61"/>
      <w:bookmarkEnd w:id="62"/>
      <w:bookmarkEnd w:id="63"/>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ind w:firstLine="480" w:firstLineChars="200"/>
        <w:rPr>
          <w:rFonts w:ascii="宋体" w:hAnsi="宋体"/>
          <w:sz w:val="24"/>
          <w:highlight w:val="none"/>
        </w:rPr>
      </w:pPr>
      <w:r>
        <w:rPr>
          <w:rFonts w:hint="eastAsia" w:ascii="宋体" w:hAnsi="宋体"/>
          <w:sz w:val="24"/>
          <w:highlight w:val="none"/>
        </w:rPr>
        <w:t>认证双方确认的审核依据标准如下：</w:t>
      </w:r>
    </w:p>
    <w:p>
      <w:pPr>
        <w:spacing w:line="360" w:lineRule="auto"/>
        <w:ind w:firstLine="480" w:firstLineChars="200"/>
        <w:jc w:val="left"/>
        <w:rPr>
          <w:rFonts w:ascii="宋体" w:hAnsi="宋体"/>
          <w:color w:val="000000"/>
          <w:sz w:val="24"/>
          <w:highlight w:val="none"/>
        </w:rPr>
      </w:pPr>
      <w:r>
        <w:rPr>
          <w:rFonts w:hint="eastAsia" w:ascii="宋体" w:hAnsi="宋体"/>
          <w:sz w:val="24"/>
          <w:highlight w:val="none"/>
        </w:rPr>
        <w:t>GB/T 35770-2022/ISO 37301: 2021《合规管理体系 要求及使用指南》</w:t>
      </w:r>
      <w:r>
        <w:rPr>
          <w:rFonts w:hint="eastAsia" w:ascii="宋体" w:hAnsi="宋体"/>
          <w:color w:val="000000"/>
          <w:sz w:val="24"/>
          <w:highlight w:val="none"/>
        </w:rPr>
        <w:t>；</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审核准则还包括受审核方所适用的方针、程序、标准、法律法规、合规管理体系相关要求、合同要求或行业规范。</w:t>
      </w:r>
    </w:p>
    <w:p>
      <w:pPr>
        <w:spacing w:line="360" w:lineRule="auto"/>
        <w:ind w:firstLine="480" w:firstLineChars="200"/>
        <w:jc w:val="left"/>
        <w:rPr>
          <w:rFonts w:ascii="宋体" w:hAnsi="宋体"/>
          <w:sz w:val="24"/>
          <w:highlight w:val="none"/>
        </w:rPr>
      </w:pPr>
      <w:r>
        <w:rPr>
          <w:rFonts w:hint="eastAsia" w:ascii="宋体" w:hAnsi="宋体" w:cs="宋体"/>
          <w:sz w:val="24"/>
          <w:highlight w:val="none"/>
        </w:rPr>
        <w:t>上述标准更新时，使用更新版本。</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.2 审核过程</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Ansi="宋体"/>
          <w:sz w:val="24"/>
          <w:highlight w:val="none"/>
        </w:rPr>
      </w:pPr>
      <w:r>
        <w:rPr>
          <w:rFonts w:hint="eastAsia" w:hAnsi="宋体"/>
          <w:sz w:val="24"/>
          <w:highlight w:val="none"/>
        </w:rPr>
        <w:t>第一阶段审核应侧重于组织的策划过程，审核的主要内容为：</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确认申请组织实际情况与合规管理体系文件描述的一致性，特别是体系文件中描述的产品和服务、部门设置和职责与权限、生产/服务/运营过程等是否与申请组织的实际情况相一致；</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审核申请组织理解和实施相关审核准则要求的情况，评价合规管理体系运行过程中是否实施了内部审核与管理评审，确认合规管理体系是否已运行并且超过3个月；</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确认申请组织建立的合规管理体系覆盖的活动内容和范围、体系覆盖范围内有效人数、过程和场所，遵守适用的法律法规及强制性标准的情况；</w:t>
      </w:r>
    </w:p>
    <w:p>
      <w:pPr>
        <w:numPr>
          <w:ilvl w:val="0"/>
          <w:numId w:val="3"/>
        </w:numPr>
        <w:spacing w:line="360" w:lineRule="auto"/>
        <w:ind w:left="839" w:leftChars="228" w:hanging="360" w:hangingChars="150"/>
        <w:rPr>
          <w:rFonts w:hAnsi="宋体"/>
          <w:sz w:val="24"/>
          <w:highlight w:val="none"/>
        </w:rPr>
      </w:pPr>
      <w:r>
        <w:rPr>
          <w:rFonts w:hAnsi="宋体"/>
          <w:sz w:val="24"/>
          <w:highlight w:val="none"/>
        </w:rPr>
        <w:t>通过现场</w:t>
      </w:r>
      <w:r>
        <w:rPr>
          <w:rFonts w:hint="eastAsia" w:hAnsi="宋体"/>
          <w:sz w:val="24"/>
          <w:highlight w:val="none"/>
        </w:rPr>
        <w:t>、</w:t>
      </w:r>
      <w:r>
        <w:rPr>
          <w:rFonts w:hAnsi="宋体"/>
          <w:sz w:val="24"/>
          <w:highlight w:val="none"/>
        </w:rPr>
        <w:t>企业信息公开渠道查询核实</w:t>
      </w:r>
      <w:r>
        <w:rPr>
          <w:rFonts w:hint="eastAsia" w:ascii="宋体" w:hAnsi="宋体"/>
          <w:sz w:val="24"/>
          <w:highlight w:val="none"/>
        </w:rPr>
        <w:t>认证客户</w:t>
      </w:r>
      <w:r>
        <w:rPr>
          <w:rFonts w:hint="eastAsia" w:hAnsi="宋体"/>
          <w:sz w:val="24"/>
          <w:highlight w:val="none"/>
        </w:rPr>
        <w:t>是否存在与合规相关的负面信息；</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结合合规管理体系覆盖范围识别对合规管理目标的实现具有重要影响的关键点，并结合其他因素，科学确定重要审核点；</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与申请组织讨论确定第二阶段审核安排。对合规管理体系文件不符合实际情况、相关体系运行尚未超过3个月或者无法证明超过3个月的，以及其他不具备二阶段审核条件的，不应实施二阶段审核。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目标完成情况，依据关键绩效目标和指标，对绩效进行的监视、测量、报告和评审；</w:t>
      </w:r>
    </w:p>
    <w:p>
      <w:pPr>
        <w:numPr>
          <w:ilvl w:val="0"/>
          <w:numId w:val="4"/>
        </w:numPr>
        <w:spacing w:line="360" w:lineRule="auto"/>
        <w:jc w:val="left"/>
        <w:rPr>
          <w:rFonts w:ascii="宋体" w:hAnsi="宋体"/>
          <w:sz w:val="24"/>
          <w:highlight w:val="none"/>
        </w:rPr>
      </w:pPr>
      <w:r>
        <w:rPr>
          <w:rFonts w:hint="eastAsia" w:ascii="宋体" w:hAnsi="宋体"/>
          <w:sz w:val="24"/>
          <w:highlight w:val="none"/>
        </w:rPr>
        <w:t>受审核方过程的运作控制</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管理体系和绩效中与遵守法律有关的方面；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管理职责的落实，包括针对方针的管理职责；</w:t>
      </w:r>
    </w:p>
    <w:p>
      <w:pPr>
        <w:numPr>
          <w:ilvl w:val="0"/>
          <w:numId w:val="4"/>
        </w:numPr>
        <w:spacing w:line="360" w:lineRule="auto"/>
        <w:jc w:val="left"/>
        <w:rPr>
          <w:rFonts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内部审核和管理评审实施情况；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numPr>
          <w:ilvl w:val="0"/>
          <w:numId w:val="4"/>
        </w:numPr>
        <w:spacing w:line="360" w:lineRule="auto"/>
        <w:jc w:val="left"/>
        <w:rPr>
          <w:rFonts w:ascii="宋体" w:hAnsi="宋体"/>
          <w:sz w:val="24"/>
          <w:highlight w:val="none"/>
        </w:rPr>
      </w:pPr>
      <w:r>
        <w:rPr>
          <w:rFonts w:hint="eastAsia" w:ascii="宋体" w:hAnsi="宋体"/>
          <w:sz w:val="24"/>
          <w:highlight w:val="none"/>
        </w:rPr>
        <w:t>适用时，合规报告。</w:t>
      </w:r>
    </w:p>
    <w:p>
      <w:pPr>
        <w:spacing w:line="360" w:lineRule="auto"/>
        <w:ind w:firstLine="480" w:firstLineChars="200"/>
        <w:jc w:val="left"/>
        <w:rPr>
          <w:rFonts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ascii="宋体" w:hAnsi="宋体"/>
          <w:bCs/>
          <w:sz w:val="24"/>
          <w:highlight w:val="none"/>
        </w:rPr>
      </w:pPr>
      <w:bookmarkStart w:id="64" w:name="_Toc85105532"/>
      <w:bookmarkStart w:id="65" w:name="_Toc85103642"/>
      <w:bookmarkStart w:id="66" w:name="_Toc85256268"/>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64"/>
      <w:bookmarkEnd w:id="65"/>
      <w:bookmarkEnd w:id="66"/>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ascii="宋体" w:hAnsi="宋体"/>
          <w:bCs/>
          <w:sz w:val="24"/>
          <w:highlight w:val="none"/>
        </w:rPr>
      </w:pPr>
      <w:bookmarkStart w:id="67" w:name="_Toc85105530"/>
      <w:bookmarkStart w:id="68" w:name="_Toc85256266"/>
      <w:bookmarkStart w:id="69" w:name="_Toc8510364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67"/>
      <w:bookmarkEnd w:id="68"/>
      <w:bookmarkEnd w:id="69"/>
    </w:p>
    <w:p>
      <w:pPr>
        <w:numPr>
          <w:ilvl w:val="0"/>
          <w:numId w:val="5"/>
        </w:numPr>
        <w:spacing w:line="360" w:lineRule="auto"/>
        <w:jc w:val="left"/>
        <w:rPr>
          <w:rFonts w:ascii="宋体" w:hAnsi="宋体"/>
          <w:sz w:val="24"/>
          <w:highlight w:val="none"/>
        </w:rPr>
      </w:pPr>
      <w:r>
        <w:rPr>
          <w:rFonts w:hint="eastAsia" w:ascii="宋体" w:hAnsi="宋体"/>
          <w:sz w:val="24"/>
          <w:highlight w:val="none"/>
        </w:rPr>
        <w:t>任何变更（如资源、过程、组织结构、已识别的关键控制点等）；</w:t>
      </w:r>
    </w:p>
    <w:p>
      <w:pPr>
        <w:numPr>
          <w:ilvl w:val="0"/>
          <w:numId w:val="5"/>
        </w:numPr>
        <w:spacing w:line="360" w:lineRule="auto"/>
        <w:jc w:val="left"/>
        <w:rPr>
          <w:rFonts w:ascii="宋体" w:hAnsi="宋体"/>
          <w:sz w:val="24"/>
          <w:highlight w:val="none"/>
        </w:rPr>
      </w:pPr>
      <w:r>
        <w:rPr>
          <w:rFonts w:hint="eastAsia" w:ascii="宋体" w:hAnsi="宋体"/>
          <w:sz w:val="24"/>
          <w:highlight w:val="none"/>
        </w:rPr>
        <w:t>持续的运作控制合规目标的实现情况；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适用的法律法规持续符合情况；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内部审核和管理评审；</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针对合规体系运行中发现的问题或投诉，制定并实施了有效的改进措施；</w:t>
      </w:r>
    </w:p>
    <w:p>
      <w:pPr>
        <w:numPr>
          <w:ilvl w:val="0"/>
          <w:numId w:val="5"/>
        </w:numPr>
        <w:spacing w:line="360" w:lineRule="auto"/>
        <w:jc w:val="left"/>
        <w:rPr>
          <w:rFonts w:ascii="宋体" w:hAnsi="宋体"/>
          <w:sz w:val="24"/>
          <w:highlight w:val="none"/>
        </w:rPr>
      </w:pPr>
      <w:r>
        <w:rPr>
          <w:rFonts w:hint="eastAsia" w:ascii="宋体" w:hAnsi="宋体"/>
          <w:sz w:val="24"/>
          <w:highlight w:val="none"/>
        </w:rPr>
        <w:t>管理体系实施的有效性；</w:t>
      </w:r>
    </w:p>
    <w:p>
      <w:pPr>
        <w:numPr>
          <w:ilvl w:val="0"/>
          <w:numId w:val="5"/>
        </w:numPr>
        <w:spacing w:line="360" w:lineRule="auto"/>
        <w:jc w:val="left"/>
        <w:rPr>
          <w:rFonts w:ascii="宋体" w:hAnsi="宋体"/>
          <w:sz w:val="24"/>
          <w:highlight w:val="none"/>
        </w:rPr>
      </w:pPr>
      <w:r>
        <w:rPr>
          <w:rFonts w:hint="eastAsia" w:ascii="宋体" w:hAnsi="宋体"/>
          <w:sz w:val="24"/>
          <w:highlight w:val="none"/>
        </w:rPr>
        <w:t>为持续改进而策划的活动的进展；</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针对上次审核中确定的不符合所采取的措施和效果；</w:t>
      </w:r>
    </w:p>
    <w:p>
      <w:pPr>
        <w:numPr>
          <w:ilvl w:val="0"/>
          <w:numId w:val="5"/>
        </w:numPr>
        <w:spacing w:line="360" w:lineRule="auto"/>
        <w:jc w:val="left"/>
        <w:rPr>
          <w:rFonts w:ascii="宋体" w:hAnsi="宋体"/>
          <w:sz w:val="24"/>
          <w:highlight w:val="none"/>
        </w:rPr>
      </w:pPr>
      <w:r>
        <w:rPr>
          <w:rFonts w:hint="eastAsia" w:ascii="宋体" w:hAnsi="宋体"/>
          <w:sz w:val="24"/>
          <w:highlight w:val="none"/>
        </w:rPr>
        <w:t>证书和标志的使用和（或）任何其他对认证资格的引用；</w:t>
      </w:r>
    </w:p>
    <w:p>
      <w:pPr>
        <w:numPr>
          <w:ilvl w:val="0"/>
          <w:numId w:val="5"/>
        </w:numPr>
        <w:spacing w:line="360" w:lineRule="auto"/>
        <w:jc w:val="left"/>
        <w:rPr>
          <w:rFonts w:ascii="宋体" w:hAnsi="宋体"/>
          <w:sz w:val="24"/>
          <w:highlight w:val="none"/>
        </w:rPr>
      </w:pPr>
      <w:r>
        <w:rPr>
          <w:rFonts w:hint="eastAsia" w:ascii="宋体" w:hAnsi="宋体"/>
          <w:sz w:val="24"/>
          <w:highlight w:val="none"/>
        </w:rPr>
        <w:t>适用时，合规报告。</w:t>
      </w:r>
    </w:p>
    <w:p>
      <w:pPr>
        <w:spacing w:line="360" w:lineRule="auto"/>
        <w:ind w:left="480"/>
        <w:rPr>
          <w:rFonts w:ascii="宋体" w:hAnsi="宋体"/>
          <w:sz w:val="24"/>
          <w:highlight w:val="none"/>
        </w:rPr>
      </w:pPr>
      <w:r>
        <w:rPr>
          <w:rFonts w:hint="eastAsia" w:ascii="宋体" w:hAnsi="宋体"/>
          <w:sz w:val="24"/>
          <w:highlight w:val="none"/>
        </w:rPr>
        <w:t>获证客户应保存全部投诉记录，需要时提供认证机构。</w:t>
      </w:r>
    </w:p>
    <w:p>
      <w:pPr>
        <w:pStyle w:val="8"/>
        <w:spacing w:line="360" w:lineRule="auto"/>
        <w:ind w:firstLine="480"/>
        <w:rPr>
          <w:sz w:val="24"/>
          <w:szCs w:val="24"/>
          <w:highlight w:val="none"/>
        </w:rPr>
      </w:pPr>
      <w:r>
        <w:rPr>
          <w:rFonts w:hint="eastAsia"/>
          <w:sz w:val="24"/>
          <w:szCs w:val="24"/>
          <w:highlight w:val="none"/>
        </w:rPr>
        <w:t>CQM根据以上</w:t>
      </w:r>
      <w:bookmarkStart w:id="70" w:name="_Toc33600432"/>
      <w:bookmarkStart w:id="71" w:name="_Toc33599598"/>
      <w:bookmarkStart w:id="72" w:name="_Toc33600388"/>
      <w:bookmarkStart w:id="73" w:name="_Toc33599725"/>
      <w:r>
        <w:rPr>
          <w:rFonts w:hint="eastAsia"/>
          <w:sz w:val="24"/>
          <w:szCs w:val="24"/>
          <w:highlight w:val="none"/>
        </w:rPr>
        <w:t>信息对获证客户管理体系进行再评价，确认其是否持续满足认证要求。</w:t>
      </w:r>
    </w:p>
    <w:p>
      <w:pPr>
        <w:pStyle w:val="8"/>
        <w:spacing w:line="360" w:lineRule="auto"/>
        <w:ind w:firstLine="480"/>
        <w:rPr>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ascii="宋体" w:hAnsi="宋体"/>
          <w:bCs/>
          <w:sz w:val="24"/>
          <w:highlight w:val="none"/>
        </w:rPr>
      </w:pPr>
      <w:bookmarkStart w:id="74" w:name="_Toc85105531"/>
      <w:bookmarkStart w:id="75" w:name="_Toc85256267"/>
      <w:bookmarkStart w:id="76" w:name="_Toc8510364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70"/>
      <w:bookmarkEnd w:id="71"/>
      <w:bookmarkEnd w:id="72"/>
      <w:bookmarkEnd w:id="73"/>
      <w:bookmarkEnd w:id="74"/>
      <w:bookmarkEnd w:id="75"/>
      <w:bookmarkEnd w:id="76"/>
    </w:p>
    <w:p>
      <w:pPr>
        <w:spacing w:line="360" w:lineRule="auto"/>
        <w:ind w:left="-1" w:leftChars="-1" w:hanging="1"/>
        <w:rPr>
          <w:rFonts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此后，监督审核应至少每个日历年（应进行再认证的年份除外）进行一次，且两次监督审核的时间间隔不得超过12个月。</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6"/>
        </w:numPr>
        <w:spacing w:line="360" w:lineRule="auto"/>
        <w:ind w:left="878" w:hanging="398"/>
        <w:rPr>
          <w:rFonts w:ascii="宋体" w:hAnsi="宋体"/>
          <w:sz w:val="24"/>
          <w:highlight w:val="none"/>
        </w:rPr>
      </w:pPr>
      <w:r>
        <w:rPr>
          <w:rFonts w:hint="eastAsia" w:ascii="宋体" w:hAnsi="宋体"/>
          <w:sz w:val="24"/>
          <w:highlight w:val="none"/>
        </w:rPr>
        <w:t>获证客户对管理体系进行了重大更改；</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有足够信息表明获证客户发生了组织机构、生产条件、产品变更等影响到其认证基础的更改；</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获证客户出现重大事故或用户提出对相关管理体系运行效果的投诉未得到处理时；</w:t>
      </w:r>
    </w:p>
    <w:p>
      <w:pPr>
        <w:pStyle w:val="8"/>
        <w:numPr>
          <w:ilvl w:val="0"/>
          <w:numId w:val="6"/>
        </w:numPr>
        <w:spacing w:line="360" w:lineRule="auto"/>
        <w:ind w:left="878" w:hanging="398" w:firstLineChars="0"/>
        <w:rPr>
          <w:sz w:val="24"/>
          <w:szCs w:val="24"/>
          <w:highlight w:val="none"/>
        </w:rPr>
      </w:pPr>
      <w:r>
        <w:rPr>
          <w:rFonts w:hint="eastAsia"/>
          <w:sz w:val="24"/>
          <w:szCs w:val="24"/>
          <w:highlight w:val="none"/>
          <w:lang w:val="en-GB"/>
        </w:rPr>
        <w:t>获证客户被国家行政主管部门在监督抽查中被查出不合格时</w:t>
      </w:r>
      <w:r>
        <w:rPr>
          <w:rFonts w:hint="eastAsia"/>
          <w:sz w:val="24"/>
          <w:szCs w:val="24"/>
          <w:highlight w:val="none"/>
        </w:rPr>
        <w:t>；</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其他需要考虑的情况。</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8"/>
        <w:spacing w:line="360" w:lineRule="auto"/>
        <w:ind w:firstLine="480"/>
        <w:rPr>
          <w:sz w:val="24"/>
          <w:highlight w:val="none"/>
        </w:rPr>
      </w:pPr>
      <w:r>
        <w:rPr>
          <w:rFonts w:hint="eastAsia"/>
          <w:color w:val="auto"/>
          <w:sz w:val="24"/>
          <w:szCs w:val="24"/>
          <w:highlight w:val="none"/>
        </w:rPr>
        <w:t>在对获证客户的日常监督中，发现获证客户的出现影响管理体系运作的重大变更时，或对获证客户的投诉分析和其他信息表明获证客户管理体系可能存在较大问题时，将安排特殊审核或与获证客户商定提前安排再认证审核。</w:t>
      </w:r>
    </w:p>
    <w:p>
      <w:pPr>
        <w:spacing w:line="360" w:lineRule="auto"/>
        <w:ind w:firstLine="480" w:firstLineChars="200"/>
        <w:rPr>
          <w:rFonts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.3 现场审核活动实施</w:t>
      </w:r>
    </w:p>
    <w:p>
      <w:pPr>
        <w:spacing w:line="360" w:lineRule="auto"/>
        <w:ind w:firstLine="480"/>
        <w:jc w:val="left"/>
        <w:rPr>
          <w:rFonts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77" w:name="_Toc30792"/>
      <w:bookmarkStart w:id="78" w:name="_Toc18357"/>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77"/>
      <w:bookmarkEnd w:id="7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9" w:name="_Toc21387"/>
      <w:bookmarkStart w:id="80"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9"/>
      <w:bookmarkEnd w:id="80"/>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81" w:name="_Toc9405"/>
      <w:bookmarkStart w:id="82"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81"/>
      <w:bookmarkEnd w:id="82"/>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jc w:val="left"/>
        <w:rPr>
          <w:rFonts w:ascii="宋体" w:hAnsi="宋体"/>
          <w:sz w:val="24"/>
          <w:highlight w:val="none"/>
        </w:rPr>
      </w:pPr>
    </w:p>
    <w:p>
      <w:pPr>
        <w:pStyle w:val="2"/>
        <w:spacing w:line="360" w:lineRule="auto"/>
        <w:rPr>
          <w:color w:val="000000"/>
          <w:highlight w:val="none"/>
        </w:rPr>
      </w:pPr>
      <w:bookmarkStart w:id="83" w:name="_Toc85256251"/>
      <w:bookmarkStart w:id="84" w:name="_Toc85103626"/>
      <w:bookmarkStart w:id="85" w:name="_Toc85105515"/>
      <w:bookmarkStart w:id="86" w:name="_Toc26391"/>
      <w:bookmarkStart w:id="87" w:name="_Toc185325630"/>
      <w:bookmarkStart w:id="88" w:name="_Toc31733"/>
      <w:bookmarkStart w:id="89" w:name="_Toc27452"/>
      <w:r>
        <w:rPr>
          <w:rFonts w:hint="eastAsia"/>
          <w:highlight w:val="none"/>
          <w:lang w:val="en-US" w:eastAsia="zh-CN"/>
        </w:rPr>
        <w:t>10</w:t>
      </w:r>
      <w:r>
        <w:rPr>
          <w:rFonts w:hint="eastAsia"/>
          <w:highlight w:val="none"/>
        </w:rPr>
        <w:t xml:space="preserve"> 认证的批</w:t>
      </w:r>
      <w:r>
        <w:rPr>
          <w:rFonts w:hint="eastAsia"/>
          <w:color w:val="000000"/>
          <w:highlight w:val="none"/>
        </w:rPr>
        <w:t>准、拒绝、保持、扩大、缩小、暂停、恢复和撤销的条件</w:t>
      </w:r>
      <w:bookmarkEnd w:id="83"/>
      <w:bookmarkEnd w:id="84"/>
      <w:bookmarkEnd w:id="85"/>
      <w:r>
        <w:rPr>
          <w:rFonts w:hint="eastAsia"/>
          <w:color w:val="000000"/>
          <w:highlight w:val="none"/>
        </w:rPr>
        <w:t>和程序</w:t>
      </w:r>
      <w:bookmarkEnd w:id="86"/>
      <w:bookmarkEnd w:id="87"/>
      <w:bookmarkEnd w:id="88"/>
      <w:bookmarkEnd w:id="89"/>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.1</w:t>
      </w:r>
      <w:r>
        <w:rPr>
          <w:rFonts w:hint="eastAsia" w:ascii="宋体" w:hAnsi="宋体"/>
          <w:b/>
          <w:color w:val="000000"/>
          <w:sz w:val="24"/>
          <w:highlight w:val="none"/>
        </w:rPr>
        <w:t>批准认证范围的条件和程序</w:t>
      </w:r>
    </w:p>
    <w:p>
      <w:pPr>
        <w:spacing w:line="360" w:lineRule="auto"/>
        <w:rPr>
          <w:rFonts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认证客户的申请材料真实、准确、有效；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7"/>
        </w:numPr>
        <w:adjustRightInd w:val="0"/>
        <w:spacing w:line="360" w:lineRule="auto"/>
        <w:ind w:left="714" w:hanging="357"/>
        <w:rPr>
          <w:rFonts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至少近一年来，认证客户申请认证范围内未发生失信行为或国家检查不合格；</w:t>
      </w:r>
    </w:p>
    <w:p>
      <w:pPr>
        <w:numPr>
          <w:ilvl w:val="0"/>
          <w:numId w:val="7"/>
        </w:numPr>
        <w:adjustRightInd w:val="0"/>
        <w:snapToGrid w:val="0"/>
        <w:spacing w:line="360" w:lineRule="auto"/>
        <w:rPr>
          <w:rFonts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ascii="宋体" w:hAnsi="宋体"/>
          <w:bCs/>
          <w:sz w:val="24"/>
          <w:highlight w:val="none"/>
        </w:rPr>
      </w:pPr>
      <w:bookmarkStart w:id="90" w:name="_Toc85103628"/>
      <w:bookmarkStart w:id="91" w:name="_Toc85105517"/>
      <w:bookmarkStart w:id="92" w:name="_Toc85256253"/>
      <w:r>
        <w:rPr>
          <w:rFonts w:hint="eastAsia" w:ascii="宋体" w:hAnsi="宋体"/>
          <w:bCs/>
          <w:color w:val="000000"/>
          <w:sz w:val="24"/>
          <w:highlight w:val="none"/>
          <w:lang w:val="en-US" w:eastAsia="zh-CN"/>
        </w:rPr>
        <w:t>10</w:t>
      </w:r>
      <w:r>
        <w:rPr>
          <w:rFonts w:hint="eastAsia" w:ascii="宋体" w:hAnsi="宋体"/>
          <w:bCs/>
          <w:sz w:val="24"/>
          <w:highlight w:val="none"/>
        </w:rPr>
        <w:t>.1.2 批准认证</w:t>
      </w:r>
      <w:bookmarkEnd w:id="90"/>
      <w:bookmarkEnd w:id="91"/>
      <w:bookmarkEnd w:id="92"/>
      <w:r>
        <w:rPr>
          <w:rFonts w:hint="eastAsia" w:ascii="宋体" w:hAnsi="宋体"/>
          <w:bCs/>
          <w:sz w:val="24"/>
          <w:highlight w:val="none"/>
        </w:rPr>
        <w:t>资格的程序</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认证客户向CQM正式提交认证申请书和相关附件；</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CQM向认证客户颁发认证证书，要求获证方按规定使用认证标志。</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.2拒绝认证注册的条件和程序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.2.1 拒绝认证资格的条件</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经现场审核核实，受审核方申请认证的范围超出其经营许可范围，或涉及的生产许可文件、强制认证文件不齐全的（或缩减认证该范围）；</w:t>
      </w:r>
    </w:p>
    <w:p>
      <w:pPr>
        <w:numPr>
          <w:ilvl w:val="0"/>
          <w:numId w:val="9"/>
        </w:numPr>
        <w:tabs>
          <w:tab w:val="left" w:pos="720"/>
          <w:tab w:val="left" w:pos="900"/>
          <w:tab w:val="clear" w:pos="1050"/>
        </w:tabs>
        <w:spacing w:line="360" w:lineRule="auto"/>
        <w:ind w:left="720" w:hanging="360"/>
        <w:rPr>
          <w:rFonts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认证客户的管理体系有重大缺陷，不符合认证标准的要求，或认证客户存在重大问题及与认证范围内相关严重违法违规行为，经CQM的审定结论为不予认证注册；</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受审核方提供审核的材料明显涉嫌伪造，且员工对合规管理体系不了解的；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受审核方未开展内部审核及管理评审活动；</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9"/>
        </w:numPr>
        <w:tabs>
          <w:tab w:val="left" w:pos="720"/>
          <w:tab w:val="left" w:pos="900"/>
          <w:tab w:val="clear" w:pos="1050"/>
        </w:tabs>
        <w:spacing w:line="360" w:lineRule="auto"/>
        <w:ind w:left="720" w:hanging="360"/>
        <w:rPr>
          <w:rFonts w:ascii="宋体" w:hAnsi="宋体" w:cs="宋体"/>
          <w:color w:val="000000"/>
          <w:sz w:val="24"/>
          <w:highlight w:val="none"/>
        </w:rPr>
      </w:pPr>
      <w:r>
        <w:rPr>
          <w:rFonts w:hint="eastAsia" w:ascii="宋体" w:hAnsi="宋体" w:cs="宋体"/>
          <w:color w:val="000000"/>
          <w:sz w:val="24"/>
          <w:highlight w:val="none"/>
        </w:rPr>
        <w:t>除以上情况外，CQM的审定结论为不予认证注册。</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.2.2 拒绝认证注册的程序</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iCs/>
          <w:sz w:val="24"/>
          <w:highlight w:val="none"/>
        </w:rPr>
        <w:t>符合</w:t>
      </w:r>
      <w:r>
        <w:rPr>
          <w:rFonts w:hint="eastAsia" w:ascii="宋体" w:hAnsi="宋体"/>
          <w:bCs/>
          <w:color w:val="000000"/>
          <w:sz w:val="24"/>
          <w:highlight w:val="none"/>
          <w:lang w:val="en-US" w:eastAsia="zh-CN"/>
        </w:rPr>
        <w:t>10</w:t>
      </w:r>
      <w:r>
        <w:rPr>
          <w:rFonts w:hint="eastAsia" w:ascii="宋体" w:hAnsi="宋体"/>
          <w:iCs/>
          <w:sz w:val="24"/>
          <w:highlight w:val="none"/>
        </w:rPr>
        <w:t>.2.1条件之一，经CQM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.3保持认证资格的条件和程序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.3.1 保持认证资格的条件</w:t>
      </w:r>
    </w:p>
    <w:p>
      <w:pPr>
        <w:numPr>
          <w:ilvl w:val="0"/>
          <w:numId w:val="10"/>
        </w:numPr>
        <w:tabs>
          <w:tab w:val="left" w:pos="720"/>
        </w:tabs>
        <w:spacing w:line="360" w:lineRule="auto"/>
        <w:ind w:left="709" w:hanging="349"/>
        <w:rPr>
          <w:rFonts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获证客户持续遵守认证有关的规定，包括变更的规定；</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获证客户在认证范围内的组织过程和活动持续满足适用的最新法律法规的要求，如发生不满足时及时采取有效的措施；</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获证客户于获证期内，认证范围内涉及的过程或活动未发生重大事故和国家检查不合格；</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.3.2 保持认证资格的程序</w:t>
      </w:r>
    </w:p>
    <w:p>
      <w:pPr>
        <w:numPr>
          <w:ilvl w:val="0"/>
          <w:numId w:val="11"/>
        </w:numPr>
        <w:tabs>
          <w:tab w:val="left" w:pos="720"/>
          <w:tab w:val="clear" w:pos="1050"/>
        </w:tabs>
        <w:spacing w:line="360" w:lineRule="auto"/>
        <w:ind w:left="709" w:hanging="349"/>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1"/>
        </w:numPr>
        <w:tabs>
          <w:tab w:val="left" w:pos="720"/>
        </w:tabs>
        <w:spacing w:line="360" w:lineRule="auto"/>
        <w:ind w:left="720" w:hanging="360"/>
        <w:rPr>
          <w:rFonts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.4扩大认证范围的条件和程序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.4.1 扩大认证范围的分类</w:t>
      </w:r>
    </w:p>
    <w:p>
      <w:pPr>
        <w:numPr>
          <w:ilvl w:val="0"/>
          <w:numId w:val="12"/>
        </w:numPr>
        <w:spacing w:line="400" w:lineRule="exact"/>
        <w:rPr>
          <w:rFonts w:ascii="宋体" w:hAnsi="宋体"/>
          <w:sz w:val="24"/>
          <w:highlight w:val="none"/>
        </w:rPr>
      </w:pPr>
      <w:r>
        <w:rPr>
          <w:rFonts w:hint="eastAsia" w:ascii="宋体" w:hAnsi="宋体"/>
          <w:sz w:val="24"/>
          <w:highlight w:val="none"/>
        </w:rPr>
        <w:t>获证客户固定分场所增加、区域或扩大；</w:t>
      </w:r>
    </w:p>
    <w:p>
      <w:pPr>
        <w:numPr>
          <w:ilvl w:val="0"/>
          <w:numId w:val="12"/>
        </w:numPr>
        <w:spacing w:line="360" w:lineRule="auto"/>
        <w:rPr>
          <w:rFonts w:ascii="宋体" w:hAnsi="宋体"/>
          <w:sz w:val="24"/>
          <w:highlight w:val="none"/>
        </w:rPr>
      </w:pPr>
      <w:r>
        <w:rPr>
          <w:rFonts w:hint="eastAsia" w:ascii="宋体" w:hAnsi="宋体"/>
          <w:sz w:val="24"/>
          <w:highlight w:val="none"/>
        </w:rPr>
        <w:t>获证客户运营中过程或活动增加。</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.4.2 扩大认证范围的条件</w:t>
      </w:r>
    </w:p>
    <w:p>
      <w:pPr>
        <w:numPr>
          <w:ilvl w:val="0"/>
          <w:numId w:val="13"/>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3"/>
        </w:numPr>
        <w:spacing w:line="360" w:lineRule="auto"/>
        <w:rPr>
          <w:rFonts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3"/>
        </w:numPr>
        <w:spacing w:line="360" w:lineRule="auto"/>
        <w:rPr>
          <w:rFonts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3"/>
        </w:numPr>
        <w:spacing w:line="360" w:lineRule="auto"/>
        <w:rPr>
          <w:rFonts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3"/>
        </w:numPr>
        <w:spacing w:line="360" w:lineRule="auto"/>
        <w:rPr>
          <w:iCs/>
          <w:sz w:val="24"/>
          <w:highlight w:val="none"/>
        </w:rPr>
      </w:pPr>
      <w:r>
        <w:rPr>
          <w:rFonts w:hint="eastAsia" w:ascii="宋体" w:hAnsi="宋体"/>
          <w:sz w:val="24"/>
          <w:highlight w:val="none"/>
        </w:rPr>
        <w:t>获证客户按照认证规定缴纳补充认证费用。</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.4.3 扩大认证范围的程序</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4"/>
        </w:numPr>
        <w:spacing w:line="360" w:lineRule="auto"/>
        <w:rPr>
          <w:rFonts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4"/>
        </w:numPr>
        <w:spacing w:line="360" w:lineRule="auto"/>
        <w:rPr>
          <w:rFonts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4"/>
        </w:numPr>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CQM向获证客户送交新认证证书，同时收回原证书。</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.5缩小认证范围的条件和程序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.5.1 缩小认证范围的分类</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获证客户固定分场所、区域的缩小；</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5"/>
        </w:numPr>
        <w:tabs>
          <w:tab w:val="left" w:pos="720"/>
          <w:tab w:val="left" w:pos="4188"/>
          <w:tab w:val="clear" w:pos="1078"/>
        </w:tabs>
        <w:spacing w:line="360" w:lineRule="auto"/>
        <w:ind w:left="720"/>
        <w:rPr>
          <w:highlight w:val="none"/>
        </w:rPr>
      </w:pPr>
      <w:r>
        <w:rPr>
          <w:rFonts w:hint="eastAsia" w:ascii="宋体" w:hAnsi="宋体"/>
          <w:bCs/>
          <w:sz w:val="24"/>
          <w:highlight w:val="none"/>
        </w:rPr>
        <w:t>多个组织认证减少组织数量。</w:t>
      </w:r>
    </w:p>
    <w:p>
      <w:pPr>
        <w:spacing w:line="360" w:lineRule="auto"/>
        <w:rPr>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.5.2 缩小认证范围的条件</w:t>
      </w:r>
    </w:p>
    <w:p>
      <w:pPr>
        <w:numPr>
          <w:ilvl w:val="0"/>
          <w:numId w:val="16"/>
        </w:numPr>
        <w:tabs>
          <w:tab w:val="left" w:pos="709"/>
          <w:tab w:val="clear" w:pos="1078"/>
        </w:tabs>
        <w:spacing w:line="360" w:lineRule="auto"/>
        <w:ind w:left="720"/>
        <w:jc w:val="left"/>
        <w:rPr>
          <w:rFonts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.5.3 缩小认证范围的程序</w:t>
      </w:r>
    </w:p>
    <w:p>
      <w:pPr>
        <w:numPr>
          <w:ilvl w:val="2"/>
          <w:numId w:val="8"/>
        </w:numPr>
        <w:spacing w:line="360" w:lineRule="auto"/>
        <w:rPr>
          <w:rFonts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8"/>
        </w:numPr>
        <w:spacing w:line="360" w:lineRule="auto"/>
        <w:rPr>
          <w:rFonts w:ascii="宋体" w:hAnsi="宋体"/>
          <w:sz w:val="24"/>
          <w:highlight w:val="none"/>
        </w:rPr>
      </w:pPr>
      <w:r>
        <w:rPr>
          <w:rFonts w:hint="eastAsia" w:ascii="宋体" w:hAnsi="宋体"/>
          <w:sz w:val="24"/>
          <w:highlight w:val="none"/>
        </w:rPr>
        <w:t>需要时，获证客户应与CQM修订认证合同；</w:t>
      </w:r>
    </w:p>
    <w:p>
      <w:pPr>
        <w:numPr>
          <w:ilvl w:val="2"/>
          <w:numId w:val="8"/>
        </w:numPr>
        <w:spacing w:line="360" w:lineRule="auto"/>
        <w:rPr>
          <w:rFonts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.6变更认证信息的条件和程序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ascii="宋体" w:hAnsi="宋体"/>
          <w:sz w:val="24"/>
          <w:highlight w:val="none"/>
        </w:rPr>
      </w:pPr>
      <w:r>
        <w:rPr>
          <w:rFonts w:hint="eastAsia" w:ascii="宋体" w:hAnsi="宋体"/>
          <w:sz w:val="24"/>
          <w:highlight w:val="none"/>
        </w:rPr>
        <w:t>在认证证书有效期内，获证客户因信息发生变更，导致与认证证书信息不一致时，应予以更新。</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.6.1.2变更认证信息的分类：</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获证客户名称、住所变更；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认证地址变更；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地名变更；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企业人数变更，证书编号变更；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.6.2变更认证信息的程序</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851" w:hanging="425"/>
        <w:rPr>
          <w:rFonts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8"/>
        </w:numPr>
        <w:spacing w:line="360" w:lineRule="auto"/>
        <w:ind w:left="851" w:hanging="425"/>
        <w:rPr>
          <w:rFonts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当地政府的相关证明；</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.6.2.1.5 证书范围中的过程或活动的变更需要提交的资料</w:t>
      </w:r>
    </w:p>
    <w:p>
      <w:pPr>
        <w:numPr>
          <w:ilvl w:val="1"/>
          <w:numId w:val="21"/>
        </w:numPr>
        <w:spacing w:line="360" w:lineRule="auto"/>
        <w:ind w:left="709" w:hanging="283"/>
        <w:rPr>
          <w:rFonts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1"/>
        </w:numPr>
        <w:tabs>
          <w:tab w:val="left" w:pos="720"/>
        </w:tabs>
        <w:spacing w:line="360" w:lineRule="auto"/>
        <w:rPr>
          <w:rFonts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获证客户根据</w:t>
      </w:r>
      <w:r>
        <w:rPr>
          <w:rFonts w:hint="eastAsia" w:ascii="宋体" w:hAnsi="宋体"/>
          <w:bCs/>
          <w:color w:val="000000"/>
          <w:sz w:val="24"/>
          <w:highlight w:val="none"/>
          <w:lang w:val="en-US" w:eastAsia="zh-CN"/>
        </w:rPr>
        <w:t>10</w:t>
      </w:r>
      <w:r>
        <w:rPr>
          <w:rFonts w:hint="eastAsia" w:ascii="宋体" w:hAnsi="宋体" w:cs="宋体"/>
          <w:sz w:val="24"/>
          <w:highlight w:val="none"/>
        </w:rPr>
        <w:t>.6.1要求向CQM正式提交满足</w:t>
      </w:r>
      <w:r>
        <w:rPr>
          <w:rFonts w:hint="eastAsia" w:ascii="宋体" w:hAnsi="宋体"/>
          <w:bCs/>
          <w:color w:val="000000"/>
          <w:sz w:val="24"/>
          <w:highlight w:val="none"/>
          <w:lang w:val="en-US" w:eastAsia="zh-CN"/>
        </w:rPr>
        <w:t>10</w:t>
      </w:r>
      <w:r>
        <w:rPr>
          <w:rFonts w:hint="eastAsia" w:ascii="宋体" w:hAnsi="宋体" w:cs="宋体"/>
          <w:sz w:val="24"/>
          <w:highlight w:val="none"/>
        </w:rPr>
        <w:t>.6.2.1要求的申请和相关文件资料；</w:t>
      </w:r>
    </w:p>
    <w:p>
      <w:pPr>
        <w:numPr>
          <w:ilvl w:val="0"/>
          <w:numId w:val="22"/>
        </w:numPr>
        <w:tabs>
          <w:tab w:val="left" w:pos="720"/>
        </w:tabs>
        <w:spacing w:line="360" w:lineRule="auto"/>
        <w:rPr>
          <w:rFonts w:ascii="宋体" w:hAnsi="宋体" w:cs="宋体"/>
          <w:sz w:val="24"/>
          <w:highlight w:val="none"/>
        </w:rPr>
      </w:pPr>
      <w:r>
        <w:rPr>
          <w:rFonts w:hint="eastAsia" w:ascii="宋体" w:hAnsi="宋体" w:cs="宋体"/>
          <w:sz w:val="24"/>
          <w:highlight w:val="none"/>
        </w:rPr>
        <w:t>需要时，获证客户应接受CQM的审核；</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.7暂停认证资格的条件和程序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ind w:left="-4" w:firstLine="4"/>
        <w:rPr>
          <w:rFonts w:ascii="宋体" w:hAnsi="宋体"/>
          <w:color w:val="000000"/>
          <w:sz w:val="24"/>
          <w:highlight w:val="none"/>
        </w:rPr>
      </w:pPr>
      <w:r>
        <w:rPr>
          <w:rFonts w:hint="eastAsia" w:ascii="宋体" w:hAnsi="宋体"/>
          <w:color w:val="000000"/>
          <w:sz w:val="24"/>
          <w:highlight w:val="none"/>
        </w:rPr>
        <w:t>——</w:t>
      </w:r>
      <w:r>
        <w:rPr>
          <w:rFonts w:hint="eastAsia" w:ascii="宋体" w:hAnsi="宋体" w:cs="宋体"/>
          <w:sz w:val="24"/>
          <w:highlight w:val="none"/>
        </w:rPr>
        <w:t>获证客户管理体系持续或严重不满足认证要求，包括对合规管理体系运行有效性要求的。</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获证客户的管理体系发生重大变更，不能持续符合认证标准/规范性文件要求；</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获证客户监督审核期间发生严重影响体系运行的情况；</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获证客户在认证范围内的过程和活动不能满足适用的最新法律法规和标准的要求，并未采取措施或措施无效；</w:t>
      </w:r>
    </w:p>
    <w:p>
      <w:pPr>
        <w:numPr>
          <w:ilvl w:val="0"/>
          <w:numId w:val="23"/>
        </w:numPr>
        <w:spacing w:line="360" w:lineRule="auto"/>
        <w:ind w:left="11" w:firstLine="415"/>
        <w:rPr>
          <w:rFonts w:ascii="宋体" w:hAnsi="宋体"/>
          <w:color w:val="000000"/>
          <w:sz w:val="24"/>
          <w:highlight w:val="none"/>
        </w:rPr>
      </w:pPr>
      <w:r>
        <w:rPr>
          <w:rFonts w:hint="eastAsia" w:ascii="宋体" w:hAnsi="宋体"/>
          <w:sz w:val="24"/>
          <w:highlight w:val="none"/>
        </w:rPr>
        <w:t>获证客户未按照认证要求的变更做出相应调整，或调整不满足变更要求；</w:t>
      </w:r>
      <w:r>
        <w:rPr>
          <w:rFonts w:hint="eastAsia" w:ascii="宋体" w:hAnsi="宋体"/>
          <w:color w:val="000000"/>
          <w:sz w:val="24"/>
          <w:highlight w:val="none"/>
        </w:rPr>
        <w:t>——获证客户不承担、履行认证合同约定的责任和义务。</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获证客户未能在规定的期限内接受监督或再认证审核；</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获证客户未履行与CQM签署认证合同中规定的责任和义务，并对保持认证资格产生重大影响；</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获证客户未按照认证合同规定缴纳认证费用；</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获证客户在获证期间发生误用认证证书和认证标志，并未能及时有效地采取纠正和纠正措施，以将产生的影响降至最少程度。</w:t>
      </w:r>
    </w:p>
    <w:p>
      <w:pPr>
        <w:spacing w:line="360" w:lineRule="auto"/>
        <w:rPr>
          <w:rFonts w:ascii="宋体" w:hAnsi="宋体"/>
          <w:color w:val="000000"/>
          <w:sz w:val="24"/>
          <w:highlight w:val="none"/>
        </w:rPr>
      </w:pPr>
      <w:r>
        <w:rPr>
          <w:rFonts w:hint="eastAsia" w:ascii="宋体" w:hAnsi="宋体"/>
          <w:color w:val="000000"/>
          <w:sz w:val="24"/>
          <w:highlight w:val="none"/>
        </w:rPr>
        <w:t>——获证客户在证书有效期间受到相关执法监管部门处罚。</w:t>
      </w:r>
    </w:p>
    <w:p>
      <w:pPr>
        <w:numPr>
          <w:ilvl w:val="0"/>
          <w:numId w:val="25"/>
        </w:numPr>
        <w:spacing w:line="360" w:lineRule="auto"/>
        <w:ind w:left="851" w:hanging="425"/>
        <w:rPr>
          <w:rFonts w:ascii="宋体" w:hAnsi="宋体"/>
          <w:sz w:val="24"/>
          <w:highlight w:val="none"/>
        </w:rPr>
      </w:pPr>
      <w:r>
        <w:rPr>
          <w:rFonts w:hint="eastAsia" w:ascii="宋体" w:hAnsi="宋体"/>
          <w:sz w:val="24"/>
          <w:highlight w:val="none"/>
        </w:rPr>
        <w:t>获证客户未按要求对信息进行通报。</w:t>
      </w:r>
    </w:p>
    <w:p>
      <w:pPr>
        <w:spacing w:line="360" w:lineRule="auto"/>
        <w:rPr>
          <w:rFonts w:ascii="宋体" w:hAnsi="宋体" w:cs="宋体"/>
          <w:sz w:val="24"/>
          <w:highlight w:val="none"/>
        </w:rPr>
      </w:pPr>
      <w:r>
        <w:rPr>
          <w:rFonts w:hint="eastAsia" w:ascii="宋体" w:hAnsi="宋体"/>
          <w:color w:val="000000"/>
          <w:sz w:val="24"/>
          <w:highlight w:val="none"/>
        </w:rPr>
        <w:t>——</w:t>
      </w:r>
      <w:r>
        <w:rPr>
          <w:rFonts w:hint="eastAsia" w:ascii="宋体" w:hAnsi="宋体" w:cs="宋体"/>
          <w:sz w:val="24"/>
          <w:highlight w:val="none"/>
        </w:rPr>
        <w:t>获证客户被地方认证监管部门发现体系运行存在问题。</w:t>
      </w:r>
    </w:p>
    <w:p>
      <w:pPr>
        <w:numPr>
          <w:ilvl w:val="0"/>
          <w:numId w:val="26"/>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获证客户于获证期间在认证范围内发生国家抽检不合格，并未查明原因和采取补救措施。</w:t>
      </w:r>
    </w:p>
    <w:p>
      <w:pPr>
        <w:spacing w:line="360" w:lineRule="auto"/>
        <w:rPr>
          <w:rFonts w:ascii="宋体" w:hAnsi="宋体" w:cs="宋体"/>
          <w:sz w:val="24"/>
          <w:highlight w:val="none"/>
        </w:rPr>
      </w:pPr>
      <w:r>
        <w:rPr>
          <w:rFonts w:hint="eastAsia" w:ascii="宋体" w:hAnsi="宋体" w:cs="宋体"/>
          <w:sz w:val="24"/>
          <w:highlight w:val="none"/>
        </w:rPr>
        <w:t>——获证客户持有的行政许可证明、资质证书、强制性认证证书等过期失效，重新提交的申请已被受理但尚未换证。</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获证客户的法律地位、资质不再符合国家的最新要求；</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获证客户的认证范围已不在现行有效的法律地位文件和资质规定的范围内，但仍有可能在短期内符合规定要求。</w:t>
      </w:r>
    </w:p>
    <w:p>
      <w:pPr>
        <w:spacing w:line="360" w:lineRule="auto"/>
        <w:rPr>
          <w:rFonts w:ascii="宋体" w:hAnsi="宋体" w:cs="宋体"/>
          <w:sz w:val="24"/>
          <w:highlight w:val="none"/>
        </w:rPr>
      </w:pPr>
      <w:r>
        <w:rPr>
          <w:rFonts w:hint="eastAsia" w:ascii="宋体" w:hAnsi="宋体" w:cs="宋体"/>
          <w:sz w:val="24"/>
          <w:highlight w:val="none"/>
        </w:rPr>
        <w:t>——获证客户主动请求暂停。</w:t>
      </w:r>
    </w:p>
    <w:p>
      <w:pPr>
        <w:spacing w:line="360" w:lineRule="auto"/>
        <w:rPr>
          <w:rFonts w:ascii="宋体" w:hAnsi="宋体" w:cs="宋体"/>
          <w:sz w:val="24"/>
          <w:highlight w:val="none"/>
        </w:rPr>
      </w:pPr>
      <w:r>
        <w:rPr>
          <w:rFonts w:hint="eastAsia" w:ascii="宋体" w:hAnsi="宋体" w:cs="宋体"/>
          <w:sz w:val="24"/>
          <w:highlight w:val="none"/>
        </w:rPr>
        <w:t>——获证客户发生了与违反国家法律法规的重大事故，反映出获证客户的体系建立及运行存在重大缺陷。</w:t>
      </w:r>
    </w:p>
    <w:p>
      <w:pPr>
        <w:numPr>
          <w:ilvl w:val="0"/>
          <w:numId w:val="28"/>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获证客户于获证期间在认证范围内发生重大事故被媒体曝光、或未查明原因和采取补救措施；</w:t>
      </w:r>
    </w:p>
    <w:p>
      <w:pPr>
        <w:spacing w:line="360" w:lineRule="auto"/>
        <w:rPr>
          <w:rFonts w:ascii="宋体" w:hAnsi="宋体" w:cs="宋体"/>
          <w:sz w:val="24"/>
          <w:highlight w:val="none"/>
        </w:rPr>
      </w:pPr>
      <w:r>
        <w:rPr>
          <w:rFonts w:hint="eastAsia" w:ascii="宋体" w:hAnsi="宋体" w:cs="宋体"/>
          <w:sz w:val="24"/>
          <w:highlight w:val="none"/>
        </w:rPr>
        <w:t>——其他原因需要暂停证书。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.7.2 暂停认证资格的程序</w:t>
      </w:r>
    </w:p>
    <w:p>
      <w:pPr>
        <w:numPr>
          <w:ilvl w:val="0"/>
          <w:numId w:val="29"/>
        </w:numPr>
        <w:spacing w:line="360" w:lineRule="auto"/>
        <w:rPr>
          <w:rFonts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9"/>
        </w:numPr>
        <w:spacing w:line="360" w:lineRule="auto"/>
        <w:ind w:left="709" w:hanging="349"/>
        <w:rPr>
          <w:rFonts w:ascii="宋体" w:hAnsi="宋体" w:cs="宋体"/>
          <w:sz w:val="24"/>
          <w:highlight w:val="none"/>
        </w:rPr>
      </w:pPr>
      <w:r>
        <w:rPr>
          <w:rFonts w:hint="eastAsia" w:ascii="宋体" w:hAnsi="宋体" w:cs="宋体"/>
          <w:sz w:val="24"/>
          <w:highlight w:val="none"/>
        </w:rPr>
        <w:t>必要时，CQM与获证客户沟通，核实证据；</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w:t>
      </w:r>
      <w:r>
        <w:rPr>
          <w:rFonts w:hint="eastAsia" w:ascii="宋体" w:hAnsi="宋体"/>
          <w:bCs/>
          <w:color w:val="000000"/>
          <w:sz w:val="24"/>
          <w:highlight w:val="none"/>
        </w:rPr>
        <w:t>定通知书</w:t>
      </w:r>
      <w:r>
        <w:rPr>
          <w:rFonts w:ascii="宋体" w:hAnsi="宋体"/>
          <w:bCs/>
          <w:color w:val="000000"/>
          <w:sz w:val="24"/>
          <w:highlight w:val="none"/>
        </w:rPr>
        <w:t>》</w:t>
      </w:r>
      <w:r>
        <w:rPr>
          <w:rFonts w:hint="eastAsia" w:ascii="宋体" w:hAnsi="宋体" w:cs="宋体"/>
          <w:color w:val="000000"/>
          <w:sz w:val="24"/>
          <w:highlight w:val="none"/>
        </w:rPr>
        <w:t>并公告；</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color w:val="000000"/>
          <w:sz w:val="24"/>
          <w:highlight w:val="none"/>
        </w:rPr>
        <w:t>获证客户按照《管理体系认证证书和认证标志、认可标识使用规则</w:t>
      </w:r>
      <w:r>
        <w:rPr>
          <w:rFonts w:ascii="宋体" w:hAnsi="宋体" w:cs="宋体"/>
          <w:color w:val="000000"/>
          <w:sz w:val="24"/>
          <w:highlight w:val="none"/>
        </w:rPr>
        <w:t>》</w:t>
      </w:r>
      <w:r>
        <w:rPr>
          <w:rFonts w:hint="eastAsia" w:ascii="宋体" w:hAnsi="宋体" w:cs="宋体"/>
          <w:color w:val="000000"/>
          <w:sz w:val="24"/>
          <w:highlight w:val="none"/>
        </w:rPr>
        <w:t>停止使用认证证书和认证标志,</w:t>
      </w:r>
      <w:r>
        <w:rPr>
          <w:rFonts w:hint="eastAsia" w:ascii="宋体" w:hAnsi="宋体"/>
          <w:bCs/>
          <w:color w:val="000000"/>
          <w:sz w:val="24"/>
          <w:highlight w:val="none"/>
        </w:rPr>
        <w:t xml:space="preserve"> 在暂停期间，客户的管理体系认证暂时无效</w:t>
      </w:r>
      <w:r>
        <w:rPr>
          <w:rFonts w:hint="eastAsia" w:ascii="宋体" w:hAnsi="宋体" w:cs="宋体"/>
          <w:color w:val="000000"/>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.8恢复认证资格的条件和程序</w:t>
      </w:r>
    </w:p>
    <w:p>
      <w:pPr>
        <w:spacing w:line="360" w:lineRule="auto"/>
        <w:rPr>
          <w:bCs/>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.8.2 恢复认证资格的程序</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.9撤销认证资格的条件和程序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spacing w:line="360" w:lineRule="auto"/>
        <w:rPr>
          <w:rFonts w:ascii="宋体" w:hAnsi="宋体"/>
          <w:bCs/>
          <w:sz w:val="24"/>
          <w:highlight w:val="none"/>
        </w:rPr>
      </w:pPr>
      <w:r>
        <w:rPr>
          <w:rFonts w:hint="eastAsia" w:ascii="宋体" w:hAnsi="宋体"/>
          <w:color w:val="000000"/>
          <w:sz w:val="24"/>
          <w:highlight w:val="none"/>
        </w:rPr>
        <w:t>——</w:t>
      </w:r>
      <w:r>
        <w:rPr>
          <w:rFonts w:hint="eastAsia" w:ascii="宋体" w:hAnsi="宋体"/>
          <w:bCs/>
          <w:sz w:val="24"/>
          <w:highlight w:val="none"/>
        </w:rPr>
        <w:t>获证客户审核未通过。</w:t>
      </w:r>
    </w:p>
    <w:p>
      <w:pPr>
        <w:spacing w:line="360" w:lineRule="auto"/>
        <w:rPr>
          <w:rFonts w:ascii="宋体" w:hAnsi="宋体"/>
          <w:bCs/>
          <w:sz w:val="24"/>
          <w:highlight w:val="none"/>
        </w:rPr>
      </w:pPr>
      <w:r>
        <w:rPr>
          <w:rFonts w:hint="eastAsia" w:ascii="宋体" w:hAnsi="宋体"/>
          <w:bCs/>
          <w:sz w:val="24"/>
          <w:highlight w:val="none"/>
        </w:rPr>
        <w:t>——获证客户被注销或撤销法律地位证明文件。</w:t>
      </w:r>
    </w:p>
    <w:p>
      <w:pPr>
        <w:numPr>
          <w:ilvl w:val="0"/>
          <w:numId w:val="31"/>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获证客户的法律地位、资质不再符合国家的最新要求；</w:t>
      </w:r>
    </w:p>
    <w:p>
      <w:pPr>
        <w:spacing w:line="360" w:lineRule="auto"/>
        <w:rPr>
          <w:rFonts w:ascii="宋体" w:hAnsi="宋体"/>
          <w:bCs/>
          <w:sz w:val="24"/>
          <w:highlight w:val="none"/>
        </w:rPr>
      </w:pPr>
      <w:r>
        <w:rPr>
          <w:rFonts w:hint="eastAsia" w:ascii="宋体" w:hAnsi="宋体"/>
          <w:bCs/>
          <w:sz w:val="24"/>
          <w:highlight w:val="none"/>
        </w:rPr>
        <w:t>——获证客户拒绝配合认证监管部门实施的监督检查，或者对有关事项的询问和调查提供了虚假材料或信息。</w:t>
      </w:r>
    </w:p>
    <w:p>
      <w:pPr>
        <w:numPr>
          <w:ilvl w:val="0"/>
          <w:numId w:val="3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被国家行政主管部门列入信用严重失信企业名单。</w:t>
      </w:r>
    </w:p>
    <w:p>
      <w:pPr>
        <w:spacing w:line="360" w:lineRule="auto"/>
        <w:rPr>
          <w:rFonts w:ascii="宋体" w:hAnsi="宋体"/>
          <w:bCs/>
          <w:sz w:val="24"/>
          <w:highlight w:val="none"/>
        </w:rPr>
      </w:pPr>
      <w:r>
        <w:rPr>
          <w:rFonts w:hint="eastAsia" w:ascii="宋体" w:hAnsi="宋体"/>
          <w:bCs/>
          <w:sz w:val="24"/>
          <w:highlight w:val="none"/>
        </w:rPr>
        <w:t>——被相关政府主管部门认定存在严重违法失信行为的。</w:t>
      </w:r>
    </w:p>
    <w:p>
      <w:pPr>
        <w:spacing w:line="360" w:lineRule="auto"/>
        <w:rPr>
          <w:rFonts w:ascii="宋体" w:hAnsi="宋体"/>
          <w:bCs/>
          <w:sz w:val="24"/>
          <w:highlight w:val="none"/>
        </w:rPr>
      </w:pPr>
      <w:r>
        <w:rPr>
          <w:rFonts w:hint="eastAsia" w:ascii="宋体" w:hAnsi="宋体"/>
          <w:bCs/>
          <w:sz w:val="24"/>
          <w:highlight w:val="none"/>
        </w:rPr>
        <w:t>——</w:t>
      </w:r>
      <w:r>
        <w:rPr>
          <w:rFonts w:hint="eastAsia" w:ascii="宋体" w:hAnsi="宋体"/>
          <w:bCs/>
          <w:iCs/>
          <w:sz w:val="24"/>
          <w:highlight w:val="none"/>
        </w:rPr>
        <w:t>获证客户出现重大事故，经执法监管部门确认是获证客户违规造成。</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获证客户于获证期间在认证范围内发生国家抽检不合格，并造成严重影响。</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拒绝接受国家行政主管部门监督抽查的。</w:t>
      </w:r>
    </w:p>
    <w:p>
      <w:pPr>
        <w:spacing w:line="360" w:lineRule="auto"/>
        <w:rPr>
          <w:rFonts w:ascii="宋体" w:hAnsi="宋体"/>
          <w:bCs/>
          <w:sz w:val="24"/>
          <w:highlight w:val="none"/>
        </w:rPr>
      </w:pPr>
      <w:r>
        <w:rPr>
          <w:rFonts w:hint="eastAsia" w:ascii="宋体" w:hAnsi="宋体"/>
          <w:bCs/>
          <w:sz w:val="24"/>
          <w:highlight w:val="none"/>
        </w:rPr>
        <w:t>——获证客户在证书有效期间有其他严重违反法律法规行为，受到相关执法监管部门处罚。</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——获证客户没有运行管理体系或者已不具备运行条件。</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获证客户在认证范围内的管理体系发生重大变更，未向CQM通报，并在短期内无法满足认证要求；</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获证客户体制变更后原管理体系已不再适宜；</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获证客户不再生产体系覆盖内产品；</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获证客户在认证范围内的组织单元、产品、服务及其过程和活动严重不能满足适用的最新法律法规和标准的要求，并在短期内无法采取措施或采取措施无效的；</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获证客户停业或关闭的。</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——获证客户不按相关规定正确引用和宣传获得的认证信息，造成严重影响或后果，或者认证机构已要求其纠正但超过2个月仍未纠正。</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获证客户在获证期间发生大量误用认证证书和认证标志，并未能及时有效地采取纠正和纠正措施，误导消费者，影响面大；</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获证客户转让认证证书和认证标志；</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——获证客户发生了合规等有关的重大事故，反映出获证客户的体系建立及运行存在重大缺陷。</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——获证客户因换发新证而撤销旧证书。</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——获证客户不承担、履行认证合同约定的责任和义务。</w:t>
      </w:r>
    </w:p>
    <w:p>
      <w:pPr>
        <w:pStyle w:val="10"/>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0"/>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0"/>
        <w:spacing w:line="360" w:lineRule="auto"/>
        <w:rPr>
          <w:rFonts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0"/>
        <w:spacing w:line="360" w:lineRule="auto"/>
        <w:rPr>
          <w:rFonts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0"/>
        <w:spacing w:line="360" w:lineRule="auto"/>
        <w:rPr>
          <w:rFonts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——获证客户主动放弃认证。</w:t>
      </w:r>
    </w:p>
    <w:p>
      <w:pPr>
        <w:pStyle w:val="10"/>
        <w:spacing w:line="360" w:lineRule="auto"/>
        <w:ind w:left="0" w:leftChars="0"/>
        <w:rPr>
          <w:rFonts w:ascii="宋体" w:hAnsi="宋体"/>
          <w:iCs/>
          <w:sz w:val="24"/>
          <w:highlight w:val="none"/>
        </w:rPr>
      </w:pPr>
      <w:r>
        <w:rPr>
          <w:rFonts w:hint="eastAsia" w:ascii="宋体" w:hAnsi="宋体"/>
          <w:bCs/>
          <w:iCs/>
          <w:sz w:val="24"/>
          <w:highlight w:val="none"/>
        </w:rPr>
        <w:t>——其他原因需要撤销证书。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并公告，收回认证证书，认证客户不得再使用认证证书和认证标志。</w:t>
      </w:r>
    </w:p>
    <w:p>
      <w:pPr>
        <w:spacing w:line="360" w:lineRule="auto"/>
        <w:ind w:firstLine="480" w:firstLineChars="200"/>
        <w:jc w:val="left"/>
        <w:rPr>
          <w:rFonts w:ascii="宋体" w:hAnsi="宋体"/>
          <w:sz w:val="24"/>
          <w:highlight w:val="none"/>
        </w:rPr>
      </w:pPr>
    </w:p>
    <w:p>
      <w:pPr>
        <w:pStyle w:val="2"/>
        <w:spacing w:line="360" w:lineRule="auto"/>
        <w:rPr>
          <w:rFonts w:ascii="宋体" w:hAnsi="宋体"/>
          <w:highlight w:val="none"/>
        </w:rPr>
      </w:pPr>
      <w:bookmarkStart w:id="93" w:name="_Toc23310"/>
      <w:bookmarkStart w:id="94" w:name="_Toc85256261"/>
      <w:bookmarkStart w:id="95" w:name="_Toc13875"/>
      <w:bookmarkStart w:id="96" w:name="_Toc85105525"/>
      <w:bookmarkStart w:id="97" w:name="_Toc185325639"/>
      <w:bookmarkStart w:id="98" w:name="_Toc85103636"/>
      <w:bookmarkStart w:id="99" w:name="_Toc20167"/>
      <w:r>
        <w:rPr>
          <w:rFonts w:hint="eastAsia" w:ascii="宋体" w:hAnsi="宋体"/>
          <w:highlight w:val="none"/>
          <w:lang w:val="en-US" w:eastAsia="zh-CN"/>
        </w:rPr>
        <w:t>11</w:t>
      </w:r>
      <w:r>
        <w:rPr>
          <w:rFonts w:hint="eastAsia" w:ascii="宋体" w:hAnsi="宋体"/>
          <w:highlight w:val="none"/>
        </w:rPr>
        <w:t xml:space="preserve"> 认证证书和认证标志</w:t>
      </w:r>
      <w:bookmarkEnd w:id="93"/>
      <w:bookmarkEnd w:id="94"/>
      <w:bookmarkEnd w:id="95"/>
      <w:bookmarkEnd w:id="96"/>
      <w:bookmarkEnd w:id="97"/>
      <w:bookmarkEnd w:id="98"/>
      <w:bookmarkEnd w:id="99"/>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.1认证证书和认证标志</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81" w:firstLineChars="200"/>
        <w:rPr>
          <w:rFonts w:ascii="宋体" w:hAnsi="宋体"/>
          <w:szCs w:val="21"/>
          <w:highlight w:val="none"/>
        </w:rPr>
      </w:pP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2" cstate="print"/>
                    <a:stretch>
                      <a:fillRect/>
                    </a:stretch>
                  </pic:blipFill>
                  <pic:spPr>
                    <a:xfrm>
                      <a:off x="0" y="0"/>
                      <a:ext cx="885714" cy="885714"/>
                    </a:xfrm>
                    <a:prstGeom prst="rect">
                      <a:avLst/>
                    </a:prstGeom>
                  </pic:spPr>
                </pic:pic>
              </a:graphicData>
            </a:graphic>
          </wp:inline>
        </w:drawing>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.2认证证书和认证标志的使用</w:t>
      </w:r>
    </w:p>
    <w:p>
      <w:pPr>
        <w:spacing w:line="360" w:lineRule="auto"/>
        <w:ind w:firstLine="480" w:firstLineChars="200"/>
        <w:rPr>
          <w:rFonts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.3认证证书和认证标志的误用</w:t>
      </w:r>
    </w:p>
    <w:p>
      <w:pPr>
        <w:spacing w:line="360" w:lineRule="auto"/>
        <w:ind w:firstLine="480" w:firstLineChars="200"/>
        <w:rPr>
          <w:rFonts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见《合规管理体系认证证书、标志标识使用规则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00" w:name="_Toc33600386"/>
      <w:bookmarkStart w:id="101" w:name="_Toc33599723"/>
      <w:bookmarkStart w:id="102" w:name="_Toc33599596"/>
      <w:bookmarkStart w:id="103" w:name="_Toc33600430"/>
    </w:p>
    <w:p>
      <w:pPr>
        <w:spacing w:line="360" w:lineRule="auto"/>
        <w:ind w:firstLine="480" w:firstLineChars="200"/>
        <w:rPr>
          <w:rFonts w:ascii="宋体" w:hAnsi="宋体"/>
          <w:sz w:val="24"/>
          <w:highlight w:val="none"/>
        </w:rPr>
      </w:pPr>
    </w:p>
    <w:bookmarkEnd w:id="100"/>
    <w:bookmarkEnd w:id="101"/>
    <w:bookmarkEnd w:id="102"/>
    <w:bookmarkEnd w:id="103"/>
    <w:p>
      <w:pPr>
        <w:pStyle w:val="2"/>
        <w:spacing w:line="360" w:lineRule="auto"/>
        <w:rPr>
          <w:rFonts w:ascii="宋体" w:hAnsi="宋体"/>
          <w:highlight w:val="none"/>
        </w:rPr>
      </w:pPr>
      <w:bookmarkStart w:id="104" w:name="_Toc185325643"/>
      <w:bookmarkStart w:id="105" w:name="_Toc6696"/>
      <w:bookmarkStart w:id="106" w:name="_Toc32752"/>
      <w:bookmarkStart w:id="107" w:name="_Toc3342"/>
      <w:r>
        <w:rPr>
          <w:rFonts w:hint="eastAsia" w:ascii="宋体" w:hAnsi="宋体"/>
          <w:highlight w:val="none"/>
          <w:lang w:val="en-US" w:eastAsia="zh-CN"/>
        </w:rPr>
        <w:t>12</w:t>
      </w:r>
      <w:r>
        <w:rPr>
          <w:rFonts w:hint="eastAsia" w:ascii="宋体" w:hAnsi="宋体"/>
          <w:highlight w:val="none"/>
        </w:rPr>
        <w:t xml:space="preserve"> 获证客户的信息通报</w:t>
      </w:r>
      <w:bookmarkEnd w:id="104"/>
      <w:bookmarkEnd w:id="105"/>
      <w:bookmarkEnd w:id="106"/>
      <w:bookmarkEnd w:id="107"/>
    </w:p>
    <w:p>
      <w:pPr>
        <w:spacing w:line="360" w:lineRule="auto"/>
        <w:ind w:firstLine="480" w:firstLineChars="200"/>
        <w:rPr>
          <w:rFonts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产品标准；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ascii="宋体" w:hAnsi="宋体"/>
          <w:sz w:val="24"/>
          <w:highlight w:val="none"/>
        </w:rPr>
      </w:pPr>
      <w:bookmarkStart w:id="108" w:name="_Toc33600390"/>
      <w:bookmarkStart w:id="109" w:name="_Toc33600434"/>
      <w:bookmarkStart w:id="110" w:name="_Toc33599727"/>
      <w:bookmarkStart w:id="111" w:name="_Toc33599600"/>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ascii="宋体" w:hAnsi="宋体"/>
          <w:sz w:val="24"/>
          <w:highlight w:val="none"/>
        </w:rPr>
      </w:pPr>
    </w:p>
    <w:bookmarkEnd w:id="108"/>
    <w:bookmarkEnd w:id="109"/>
    <w:bookmarkEnd w:id="110"/>
    <w:bookmarkEnd w:id="111"/>
    <w:p>
      <w:pPr>
        <w:pStyle w:val="2"/>
        <w:spacing w:line="360" w:lineRule="auto"/>
        <w:rPr>
          <w:rFonts w:ascii="宋体" w:hAnsi="宋体"/>
          <w:highlight w:val="none"/>
        </w:rPr>
      </w:pPr>
      <w:bookmarkStart w:id="112" w:name="_Toc33600403"/>
      <w:bookmarkStart w:id="113" w:name="_Toc33600447"/>
      <w:bookmarkStart w:id="114" w:name="_Toc33599740"/>
      <w:bookmarkStart w:id="115" w:name="_Toc33599613"/>
      <w:bookmarkStart w:id="116" w:name="_Toc85105535"/>
      <w:bookmarkStart w:id="117" w:name="_Toc85256271"/>
      <w:bookmarkStart w:id="118" w:name="_Toc185325644"/>
      <w:bookmarkStart w:id="119" w:name="_Toc85103645"/>
      <w:bookmarkStart w:id="120" w:name="_Toc13356"/>
      <w:bookmarkStart w:id="121" w:name="_Toc14712"/>
      <w:bookmarkStart w:id="122" w:name="_Toc16999"/>
      <w:r>
        <w:rPr>
          <w:rFonts w:hint="eastAsia" w:ascii="宋体" w:hAnsi="宋体"/>
          <w:highlight w:val="none"/>
          <w:lang w:val="en-US" w:eastAsia="zh-CN"/>
        </w:rPr>
        <w:t>13</w:t>
      </w:r>
      <w:r>
        <w:rPr>
          <w:rFonts w:hint="eastAsia" w:ascii="宋体" w:hAnsi="宋体"/>
          <w:highlight w:val="none"/>
        </w:rPr>
        <w:t xml:space="preserve"> 认证要求</w:t>
      </w:r>
      <w:bookmarkEnd w:id="112"/>
      <w:bookmarkEnd w:id="113"/>
      <w:bookmarkEnd w:id="114"/>
      <w:bookmarkEnd w:id="115"/>
      <w:r>
        <w:rPr>
          <w:rFonts w:hint="eastAsia" w:ascii="宋体" w:hAnsi="宋体"/>
          <w:highlight w:val="none"/>
        </w:rPr>
        <w:t>变更</w:t>
      </w:r>
      <w:bookmarkEnd w:id="116"/>
      <w:bookmarkEnd w:id="117"/>
      <w:bookmarkEnd w:id="118"/>
      <w:bookmarkEnd w:id="119"/>
      <w:r>
        <w:rPr>
          <w:rFonts w:hint="eastAsia" w:ascii="宋体" w:hAnsi="宋体"/>
          <w:highlight w:val="none"/>
        </w:rPr>
        <w:t>的条件和程序</w:t>
      </w:r>
      <w:bookmarkEnd w:id="120"/>
      <w:bookmarkEnd w:id="121"/>
      <w:bookmarkEnd w:id="122"/>
    </w:p>
    <w:p>
      <w:pPr>
        <w:spacing w:line="360" w:lineRule="auto"/>
        <w:rPr>
          <w:rFonts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.1认证要求变更的条件</w:t>
      </w:r>
    </w:p>
    <w:p>
      <w:pPr>
        <w:numPr>
          <w:ilvl w:val="0"/>
          <w:numId w:val="37"/>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37"/>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37"/>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37"/>
        </w:numPr>
        <w:spacing w:line="360" w:lineRule="auto"/>
        <w:rPr>
          <w:rFonts w:ascii="宋体" w:hAnsi="宋体"/>
          <w:sz w:val="24"/>
          <w:highlight w:val="none"/>
        </w:rPr>
      </w:pPr>
      <w:r>
        <w:rPr>
          <w:rFonts w:hint="eastAsia" w:ascii="宋体" w:hAnsi="宋体"/>
          <w:sz w:val="24"/>
          <w:highlight w:val="none"/>
        </w:rPr>
        <w:t>获证客户的管理体系已满足新的认证要求,且已正常运行。</w:t>
      </w:r>
    </w:p>
    <w:p>
      <w:pPr>
        <w:spacing w:line="360" w:lineRule="auto"/>
        <w:rPr>
          <w:rFonts w:ascii="宋体" w:hAnsi="宋体"/>
          <w:b/>
          <w:sz w:val="24"/>
          <w:highlight w:val="none"/>
        </w:rPr>
      </w:pPr>
      <w:r>
        <w:rPr>
          <w:rFonts w:hint="eastAsia" w:ascii="宋体" w:hAnsi="宋体"/>
          <w:b/>
          <w:sz w:val="24"/>
          <w:highlight w:val="none"/>
          <w:lang w:val="en-US" w:eastAsia="zh-CN"/>
        </w:rPr>
        <w:t>13</w:t>
      </w:r>
      <w:r>
        <w:rPr>
          <w:rFonts w:hint="eastAsia" w:ascii="宋体" w:hAnsi="宋体"/>
          <w:b/>
          <w:sz w:val="24"/>
          <w:highlight w:val="none"/>
        </w:rPr>
        <w:t>.2认证要求变更的程序</w:t>
      </w:r>
    </w:p>
    <w:p>
      <w:pPr>
        <w:numPr>
          <w:ilvl w:val="0"/>
          <w:numId w:val="38"/>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38"/>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38"/>
        </w:numPr>
        <w:spacing w:line="360" w:lineRule="auto"/>
        <w:rPr>
          <w:rFonts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ascii="宋体" w:hAnsi="宋体"/>
          <w:sz w:val="24"/>
          <w:highlight w:val="none"/>
        </w:rPr>
      </w:pPr>
    </w:p>
    <w:p>
      <w:pPr>
        <w:pStyle w:val="2"/>
        <w:spacing w:line="360" w:lineRule="auto"/>
        <w:rPr>
          <w:rFonts w:ascii="宋体" w:hAnsi="宋体"/>
          <w:highlight w:val="none"/>
        </w:rPr>
      </w:pPr>
      <w:bookmarkStart w:id="123" w:name="_Toc8515"/>
      <w:bookmarkStart w:id="124" w:name="_Toc33599614"/>
      <w:bookmarkStart w:id="125" w:name="_Toc85256272"/>
      <w:bookmarkStart w:id="126" w:name="_Toc85105536"/>
      <w:bookmarkStart w:id="127" w:name="_Toc33600448"/>
      <w:bookmarkStart w:id="128" w:name="_Toc33599741"/>
      <w:bookmarkStart w:id="129" w:name="_Toc33600404"/>
      <w:bookmarkStart w:id="130" w:name="_Toc185325645"/>
      <w:bookmarkStart w:id="131" w:name="_Toc2122"/>
      <w:bookmarkStart w:id="132" w:name="_Toc5933"/>
      <w:bookmarkStart w:id="133" w:name="_Toc85103646"/>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23"/>
      <w:bookmarkEnd w:id="124"/>
      <w:bookmarkEnd w:id="125"/>
      <w:bookmarkEnd w:id="126"/>
      <w:bookmarkEnd w:id="127"/>
      <w:bookmarkEnd w:id="128"/>
      <w:bookmarkEnd w:id="129"/>
      <w:bookmarkEnd w:id="130"/>
      <w:bookmarkEnd w:id="131"/>
      <w:bookmarkEnd w:id="132"/>
      <w:bookmarkEnd w:id="133"/>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34" w:name="_Toc33599742"/>
      <w:bookmarkStart w:id="135" w:name="_Toc33600405"/>
      <w:bookmarkStart w:id="136" w:name="_Toc33599615"/>
      <w:bookmarkStart w:id="137" w:name="_Toc33600449"/>
    </w:p>
    <w:p>
      <w:pPr>
        <w:spacing w:line="360" w:lineRule="auto"/>
        <w:ind w:firstLine="480"/>
        <w:rPr>
          <w:rFonts w:ascii="宋体" w:hAnsi="宋体"/>
          <w:sz w:val="24"/>
          <w:highlight w:val="none"/>
        </w:rPr>
      </w:pPr>
    </w:p>
    <w:bookmarkEnd w:id="134"/>
    <w:bookmarkEnd w:id="135"/>
    <w:bookmarkEnd w:id="136"/>
    <w:bookmarkEnd w:id="137"/>
    <w:p>
      <w:pPr>
        <w:pStyle w:val="2"/>
        <w:spacing w:line="360" w:lineRule="auto"/>
        <w:rPr>
          <w:rFonts w:ascii="宋体" w:hAnsi="宋体"/>
          <w:highlight w:val="none"/>
        </w:rPr>
      </w:pPr>
      <w:bookmarkStart w:id="138" w:name="_Toc22948"/>
      <w:bookmarkStart w:id="139" w:name="_Toc4850"/>
      <w:bookmarkStart w:id="140" w:name="_Toc85256273"/>
      <w:bookmarkStart w:id="141" w:name="_Toc3522"/>
      <w:bookmarkStart w:id="142" w:name="_Toc185325646"/>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38"/>
      <w:bookmarkEnd w:id="139"/>
      <w:bookmarkEnd w:id="140"/>
      <w:bookmarkEnd w:id="141"/>
      <w:bookmarkEnd w:id="142"/>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ascii="宋体"/>
          <w:bCs/>
          <w:sz w:val="24"/>
          <w:highlight w:val="none"/>
        </w:rPr>
      </w:pPr>
    </w:p>
    <w:p>
      <w:pPr>
        <w:pStyle w:val="2"/>
        <w:spacing w:line="360" w:lineRule="auto"/>
        <w:rPr>
          <w:rFonts w:ascii="宋体" w:hAnsi="宋体"/>
          <w:highlight w:val="none"/>
        </w:rPr>
      </w:pPr>
      <w:bookmarkStart w:id="143" w:name="_Toc15104"/>
      <w:bookmarkStart w:id="144" w:name="_Toc85105541"/>
      <w:bookmarkStart w:id="145" w:name="_Toc185325647"/>
      <w:bookmarkStart w:id="146" w:name="_Toc31888"/>
      <w:bookmarkStart w:id="147" w:name="_Toc18810"/>
      <w:bookmarkStart w:id="148" w:name="_Toc85256274"/>
      <w:bookmarkStart w:id="149" w:name="_Toc85103651"/>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43"/>
      <w:bookmarkEnd w:id="144"/>
      <w:bookmarkEnd w:id="145"/>
      <w:bookmarkEnd w:id="146"/>
      <w:bookmarkEnd w:id="147"/>
      <w:bookmarkEnd w:id="148"/>
      <w:bookmarkEnd w:id="149"/>
    </w:p>
    <w:p>
      <w:pPr>
        <w:spacing w:line="360" w:lineRule="auto"/>
        <w:ind w:firstLine="480"/>
        <w:rPr>
          <w:rFonts w:ascii="宋体" w:hAnsi="宋体"/>
          <w:sz w:val="24"/>
          <w:highlight w:val="none"/>
        </w:rPr>
      </w:pPr>
      <w:r>
        <w:rPr>
          <w:rFonts w:hint="eastAsia" w:ascii="宋体" w:hAnsi="宋体"/>
          <w:sz w:val="24"/>
          <w:highlight w:val="none"/>
        </w:rPr>
        <w:t>实施本方案的费用，按《合规管理体系认证收费管理规则》执行。</w:t>
      </w:r>
      <w:bookmarkStart w:id="150" w:name="_Toc33599745"/>
      <w:bookmarkStart w:id="151" w:name="_Toc33600452"/>
      <w:bookmarkStart w:id="152" w:name="_Toc33600408"/>
      <w:bookmarkStart w:id="153" w:name="_Toc33599618"/>
    </w:p>
    <w:p>
      <w:pPr>
        <w:spacing w:line="360" w:lineRule="auto"/>
        <w:ind w:firstLine="480"/>
        <w:rPr>
          <w:rFonts w:ascii="宋体" w:hAnsi="宋体"/>
          <w:sz w:val="24"/>
          <w:highlight w:val="none"/>
        </w:rPr>
      </w:pPr>
    </w:p>
    <w:p>
      <w:pPr>
        <w:pStyle w:val="2"/>
        <w:spacing w:line="360" w:lineRule="auto"/>
        <w:rPr>
          <w:highlight w:val="none"/>
        </w:rPr>
      </w:pPr>
      <w:bookmarkStart w:id="154" w:name="_Toc8140"/>
      <w:bookmarkStart w:id="155" w:name="_Toc5"/>
      <w:bookmarkStart w:id="156" w:name="_Toc85256275"/>
      <w:bookmarkStart w:id="157" w:name="_Toc185325648"/>
      <w:bookmarkStart w:id="158" w:name="_Toc3794"/>
      <w:bookmarkStart w:id="159" w:name="_Toc85105542"/>
      <w:bookmarkStart w:id="160" w:name="_Toc85103652"/>
      <w:r>
        <w:rPr>
          <w:rFonts w:hint="eastAsia"/>
          <w:highlight w:val="none"/>
        </w:rPr>
        <w:t>1</w:t>
      </w:r>
      <w:r>
        <w:rPr>
          <w:rFonts w:hint="eastAsia"/>
          <w:highlight w:val="none"/>
          <w:lang w:val="en-US" w:eastAsia="zh-CN"/>
        </w:rPr>
        <w:t>7</w:t>
      </w:r>
      <w:r>
        <w:rPr>
          <w:rFonts w:hint="eastAsia"/>
          <w:highlight w:val="none"/>
        </w:rPr>
        <w:t xml:space="preserve"> 公告</w:t>
      </w:r>
      <w:bookmarkEnd w:id="150"/>
      <w:bookmarkEnd w:id="151"/>
      <w:bookmarkEnd w:id="152"/>
      <w:bookmarkEnd w:id="153"/>
      <w:bookmarkEnd w:id="154"/>
      <w:bookmarkEnd w:id="155"/>
      <w:bookmarkEnd w:id="156"/>
      <w:bookmarkEnd w:id="157"/>
      <w:bookmarkEnd w:id="158"/>
      <w:bookmarkEnd w:id="159"/>
      <w:bookmarkEnd w:id="160"/>
    </w:p>
    <w:p>
      <w:pPr>
        <w:spacing w:line="360" w:lineRule="auto"/>
        <w:ind w:firstLine="480"/>
        <w:rPr>
          <w:rFonts w:ascii="宋体" w:hAnsi="宋体"/>
          <w:sz w:val="24"/>
          <w:highlight w:val="none"/>
        </w:rPr>
      </w:pPr>
      <w:r>
        <w:rPr>
          <w:rFonts w:hint="eastAsia" w:ascii="宋体" w:hAnsi="宋体"/>
          <w:sz w:val="24"/>
          <w:highlight w:val="none"/>
        </w:rPr>
        <w:t>对获得认证、暂停、恢复或撤销的认证客户，在CQM网站上公布。</w:t>
      </w:r>
      <w:bookmarkStart w:id="161" w:name="_Toc33599746"/>
      <w:bookmarkStart w:id="162" w:name="_Toc33600409"/>
      <w:bookmarkStart w:id="163" w:name="_Toc33599619"/>
      <w:bookmarkStart w:id="164" w:name="_Toc33600453"/>
    </w:p>
    <w:p>
      <w:pPr>
        <w:spacing w:line="360" w:lineRule="auto"/>
        <w:ind w:firstLine="480"/>
        <w:rPr>
          <w:rFonts w:ascii="宋体" w:hAnsi="宋体"/>
          <w:sz w:val="24"/>
          <w:highlight w:val="none"/>
        </w:rPr>
      </w:pPr>
    </w:p>
    <w:p>
      <w:pPr>
        <w:pStyle w:val="2"/>
        <w:spacing w:line="360" w:lineRule="auto"/>
        <w:rPr>
          <w:highlight w:val="none"/>
        </w:rPr>
      </w:pPr>
      <w:bookmarkStart w:id="165" w:name="_Toc85256276"/>
      <w:bookmarkStart w:id="166" w:name="_Toc185325649"/>
      <w:bookmarkStart w:id="167" w:name="_Toc85103653"/>
      <w:bookmarkStart w:id="168" w:name="_Toc31144"/>
      <w:bookmarkStart w:id="169" w:name="_Toc85105543"/>
      <w:bookmarkStart w:id="170" w:name="_Toc2246"/>
      <w:bookmarkStart w:id="171" w:name="_Toc2410"/>
      <w:r>
        <w:rPr>
          <w:rFonts w:hint="eastAsia"/>
          <w:highlight w:val="none"/>
        </w:rPr>
        <w:t>1</w:t>
      </w:r>
      <w:r>
        <w:rPr>
          <w:rFonts w:hint="eastAsia"/>
          <w:highlight w:val="none"/>
          <w:lang w:val="en-US" w:eastAsia="zh-CN"/>
        </w:rPr>
        <w:t>8</w:t>
      </w:r>
      <w:r>
        <w:rPr>
          <w:rFonts w:hint="eastAsia"/>
          <w:highlight w:val="none"/>
        </w:rPr>
        <w:t xml:space="preserve"> 附则</w:t>
      </w:r>
      <w:bookmarkEnd w:id="161"/>
      <w:bookmarkEnd w:id="162"/>
      <w:bookmarkEnd w:id="163"/>
      <w:bookmarkEnd w:id="164"/>
      <w:bookmarkEnd w:id="165"/>
      <w:bookmarkEnd w:id="166"/>
      <w:bookmarkEnd w:id="167"/>
      <w:bookmarkEnd w:id="168"/>
      <w:bookmarkEnd w:id="169"/>
      <w:bookmarkEnd w:id="170"/>
      <w:bookmarkEnd w:id="171"/>
    </w:p>
    <w:p>
      <w:pPr>
        <w:spacing w:line="360" w:lineRule="auto"/>
        <w:ind w:firstLine="480"/>
        <w:rPr>
          <w:rFonts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rFonts w:hint="eastAsia" w:ascii="黑体" w:hAnsi="宋体" w:eastAsia="黑体"/>
          <w:szCs w:val="21"/>
          <w:highlight w:val="none"/>
        </w:rPr>
      </w:pPr>
    </w:p>
    <w:bookmarkEnd w:id="174"/>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eastAsia"/>
              <w:lang w:eastAsia="zh-CN"/>
            </w:rPr>
          </w:pPr>
          <w:r>
            <w:t>CQM/S-</w:t>
          </w:r>
          <w:r>
            <w:rPr>
              <w:rFonts w:hint="eastAsia"/>
              <w:lang w:eastAsia="zh-CN"/>
            </w:rPr>
            <w:t>FN-00-001</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lang w:val="en-US" w:eastAsia="zh-CN"/>
            </w:rPr>
          </w:pPr>
          <w:r>
            <w:t>CQM/S-</w:t>
          </w:r>
          <w:r>
            <w:rPr>
              <w:rFonts w:hint="eastAsia"/>
            </w:rPr>
            <w:t>FN-24-023</w:t>
          </w:r>
        </w:p>
        <w:p>
          <w:pPr>
            <w:pStyle w:val="12"/>
            <w:jc w:val="both"/>
            <w:rPr>
              <w:rFonts w:hint="eastAsia"/>
              <w:lang w:val="en-US" w:eastAsia="zh-CN"/>
            </w:rPr>
          </w:pPr>
          <w:r>
            <w:rPr>
              <w:rFonts w:hint="eastAsia"/>
            </w:rPr>
            <w:t>2022年04月02日</w:t>
          </w:r>
        </w:p>
        <w:p>
          <w:pPr>
            <w:pStyle w:val="12"/>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w:t>
          </w:r>
          <w:r>
            <w:rPr>
              <w:rFonts w:hint="eastAsia"/>
            </w:rPr>
            <w:t>3日</w:t>
          </w:r>
        </w:p>
        <w:p>
          <w:pPr>
            <w:pStyle w:val="12"/>
            <w:jc w:val="both"/>
          </w:pPr>
          <w:r>
            <w:rPr>
              <w:rFonts w:hint="eastAsia"/>
            </w:rPr>
            <w:t>202</w:t>
          </w:r>
          <w:r>
            <w:rPr>
              <w:rFonts w:hint="eastAsia"/>
              <w:lang w:val="en-US" w:eastAsia="zh-CN"/>
            </w:rPr>
            <w:t>5</w:t>
          </w:r>
          <w:r>
            <w:rPr>
              <w:rFonts w:hint="eastAsia"/>
            </w:rPr>
            <w:t>年</w:t>
          </w:r>
          <w:r>
            <w:rPr>
              <w:rFonts w:hint="eastAsia"/>
              <w:lang w:val="en-US" w:eastAsia="zh-CN"/>
            </w:rPr>
            <w:t>06</w:t>
          </w:r>
          <w:r>
            <w:rPr>
              <w:rFonts w:hint="eastAsia"/>
            </w:rPr>
            <w:t>月</w:t>
          </w:r>
          <w:r>
            <w:rPr>
              <w:rFonts w:hint="eastAsia"/>
              <w:lang w:val="en-US" w:eastAsia="zh-CN"/>
            </w:rPr>
            <w:t>1</w:t>
          </w:r>
          <w:r>
            <w:rPr>
              <w:rFonts w:hint="eastAsia"/>
            </w:rPr>
            <w:t>3日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2"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8D970"/>
    <w:multiLevelType w:val="multilevel"/>
    <w:tmpl w:val="9618D97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
    <w:nsid w:val="96C7896D"/>
    <w:multiLevelType w:val="multilevel"/>
    <w:tmpl w:val="96C7896D"/>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B0C34A90"/>
    <w:multiLevelType w:val="multilevel"/>
    <w:tmpl w:val="B0C34A9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
    <w:nsid w:val="B45D9693"/>
    <w:multiLevelType w:val="multilevel"/>
    <w:tmpl w:val="B45D9693"/>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4">
    <w:nsid w:val="C4D690F3"/>
    <w:multiLevelType w:val="multilevel"/>
    <w:tmpl w:val="C4D690F3"/>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CEC62CF7"/>
    <w:multiLevelType w:val="multilevel"/>
    <w:tmpl w:val="CEC62CF7"/>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D453832B"/>
    <w:multiLevelType w:val="multilevel"/>
    <w:tmpl w:val="D453832B"/>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7">
    <w:nsid w:val="E13839B6"/>
    <w:multiLevelType w:val="multilevel"/>
    <w:tmpl w:val="E13839B6"/>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8">
    <w:nsid w:val="F1F80CDF"/>
    <w:multiLevelType w:val="multilevel"/>
    <w:tmpl w:val="F1F80CD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9">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2">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3">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4">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5">
    <w:nsid w:val="23EE233C"/>
    <w:multiLevelType w:val="multilevel"/>
    <w:tmpl w:val="23EE233C"/>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6">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7">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9">
    <w:nsid w:val="373F2C40"/>
    <w:multiLevelType w:val="multilevel"/>
    <w:tmpl w:val="373F2C40"/>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39CD24C6"/>
    <w:multiLevelType w:val="multilevel"/>
    <w:tmpl w:val="39CD24C6"/>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2">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3">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4">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5">
    <w:nsid w:val="4AF89EAC"/>
    <w:multiLevelType w:val="multilevel"/>
    <w:tmpl w:val="4AF89EAC"/>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6">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7">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8">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29">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0">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31">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2">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3">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4">
    <w:nsid w:val="7253558C"/>
    <w:multiLevelType w:val="multilevel"/>
    <w:tmpl w:val="7253558C"/>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5">
    <w:nsid w:val="72C55BA4"/>
    <w:multiLevelType w:val="multilevel"/>
    <w:tmpl w:val="72C55BA4"/>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36">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7">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19"/>
  </w:num>
  <w:num w:numId="2">
    <w:abstractNumId w:val="1"/>
  </w:num>
  <w:num w:numId="3">
    <w:abstractNumId w:val="25"/>
  </w:num>
  <w:num w:numId="4">
    <w:abstractNumId w:val="17"/>
  </w:num>
  <w:num w:numId="5">
    <w:abstractNumId w:val="9"/>
  </w:num>
  <w:num w:numId="6">
    <w:abstractNumId w:val="28"/>
  </w:num>
  <w:num w:numId="7">
    <w:abstractNumId w:val="24"/>
  </w:num>
  <w:num w:numId="8">
    <w:abstractNumId w:val="30"/>
  </w:num>
  <w:num w:numId="9">
    <w:abstractNumId w:val="29"/>
  </w:num>
  <w:num w:numId="10">
    <w:abstractNumId w:val="33"/>
  </w:num>
  <w:num w:numId="11">
    <w:abstractNumId w:val="27"/>
  </w:num>
  <w:num w:numId="12">
    <w:abstractNumId w:val="14"/>
  </w:num>
  <w:num w:numId="13">
    <w:abstractNumId w:val="11"/>
  </w:num>
  <w:num w:numId="14">
    <w:abstractNumId w:val="36"/>
  </w:num>
  <w:num w:numId="15">
    <w:abstractNumId w:val="23"/>
  </w:num>
  <w:num w:numId="16">
    <w:abstractNumId w:val="16"/>
  </w:num>
  <w:num w:numId="17">
    <w:abstractNumId w:val="10"/>
  </w:num>
  <w:num w:numId="18">
    <w:abstractNumId w:val="32"/>
  </w:num>
  <w:num w:numId="19">
    <w:abstractNumId w:val="13"/>
  </w:num>
  <w:num w:numId="20">
    <w:abstractNumId w:val="31"/>
  </w:num>
  <w:num w:numId="21">
    <w:abstractNumId w:val="20"/>
  </w:num>
  <w:num w:numId="22">
    <w:abstractNumId w:val="12"/>
  </w:num>
  <w:num w:numId="23">
    <w:abstractNumId w:val="5"/>
  </w:num>
  <w:num w:numId="24">
    <w:abstractNumId w:val="4"/>
  </w:num>
  <w:num w:numId="25">
    <w:abstractNumId w:val="0"/>
  </w:num>
  <w:num w:numId="26">
    <w:abstractNumId w:val="8"/>
  </w:num>
  <w:num w:numId="27">
    <w:abstractNumId w:val="2"/>
  </w:num>
  <w:num w:numId="28">
    <w:abstractNumId w:val="34"/>
  </w:num>
  <w:num w:numId="29">
    <w:abstractNumId w:val="21"/>
  </w:num>
  <w:num w:numId="30">
    <w:abstractNumId w:val="18"/>
  </w:num>
  <w:num w:numId="31">
    <w:abstractNumId w:val="6"/>
  </w:num>
  <w:num w:numId="32">
    <w:abstractNumId w:val="15"/>
  </w:num>
  <w:num w:numId="33">
    <w:abstractNumId w:val="35"/>
  </w:num>
  <w:num w:numId="34">
    <w:abstractNumId w:val="7"/>
  </w:num>
  <w:num w:numId="35">
    <w:abstractNumId w:val="3"/>
  </w:num>
  <w:num w:numId="36">
    <w:abstractNumId w:val="37"/>
  </w:num>
  <w:num w:numId="37">
    <w:abstractNumId w:val="22"/>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83fb365b-61c9-4c89-b2a6-b37934b6ea3a"/>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6893AAA"/>
    <w:rsid w:val="078C29F9"/>
    <w:rsid w:val="0A701D39"/>
    <w:rsid w:val="0AB65C89"/>
    <w:rsid w:val="0AEA0988"/>
    <w:rsid w:val="0C0C1DAF"/>
    <w:rsid w:val="120C3966"/>
    <w:rsid w:val="1CF55662"/>
    <w:rsid w:val="1F1E48D5"/>
    <w:rsid w:val="23655A79"/>
    <w:rsid w:val="256064CA"/>
    <w:rsid w:val="26941392"/>
    <w:rsid w:val="34070D19"/>
    <w:rsid w:val="352046EE"/>
    <w:rsid w:val="3A27603D"/>
    <w:rsid w:val="3E3A4952"/>
    <w:rsid w:val="3EAF7FD6"/>
    <w:rsid w:val="44314A28"/>
    <w:rsid w:val="462C25E8"/>
    <w:rsid w:val="4C760506"/>
    <w:rsid w:val="52297510"/>
    <w:rsid w:val="541E1033"/>
    <w:rsid w:val="5967213C"/>
    <w:rsid w:val="5B567260"/>
    <w:rsid w:val="5C0A0C51"/>
    <w:rsid w:val="5DB54B73"/>
    <w:rsid w:val="5EF4302F"/>
    <w:rsid w:val="61095CDB"/>
    <w:rsid w:val="63FB2B15"/>
    <w:rsid w:val="682B65E9"/>
    <w:rsid w:val="6B080110"/>
    <w:rsid w:val="6BF82D5E"/>
    <w:rsid w:val="70C72316"/>
    <w:rsid w:val="74B4085B"/>
    <w:rsid w:val="76C447BE"/>
    <w:rsid w:val="78210102"/>
    <w:rsid w:val="7F9F82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b/>
      <w:bCs/>
      <w:kern w:val="44"/>
      <w:sz w:val="2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12862</Words>
  <Characters>13511</Characters>
  <Lines>5</Lines>
  <Paragraphs>1</Paragraphs>
  <TotalTime>2</TotalTime>
  <ScaleCrop>false</ScaleCrop>
  <LinksUpToDate>false</LinksUpToDate>
  <CharactersWithSpaces>13695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2025-09-11T12:08:26Z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EF621FC188424B5792533C6AA7187AE2_13</vt:lpwstr>
  </property>
</Properties>
</file>