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9"/>
                              <w:spacing w:before="0" w:after="0"/>
                              <w:rPr>
                                <w:rFonts w:ascii="黑体" w:hAnsi="黑体" w:eastAsia="黑体"/>
                                <w:b w:val="0"/>
                                <w:sz w:val="52"/>
                                <w:szCs w:val="52"/>
                              </w:rPr>
                            </w:pPr>
                            <w:bookmarkStart w:id="206" w:name="_Toc444776325"/>
                            <w:bookmarkStart w:id="207" w:name="_Toc440007486"/>
                            <w:r>
                              <w:rPr>
                                <w:rFonts w:hint="eastAsia" w:ascii="黑体" w:hAnsi="Times New Roman" w:eastAsia="黑体" w:cs="Times New Roman"/>
                                <w:b w:val="0"/>
                                <w:bCs w:val="0"/>
                                <w:color w:val="002071"/>
                                <w:kern w:val="2"/>
                                <w:sz w:val="52"/>
                                <w:szCs w:val="52"/>
                                <w:lang w:val="en-US" w:eastAsia="zh-CN" w:bidi="ar-SA"/>
                              </w:rPr>
                              <w:t>知识产权管理体系认证实施方案</w:t>
                            </w:r>
                            <w:bookmarkEnd w:id="206"/>
                            <w:bookmarkEnd w:id="207"/>
                          </w:p>
                          <w:p>
                            <w:pPr>
                              <w:jc w:val="center"/>
                              <w:rPr>
                                <w:rFonts w:hint="eastAsia" w:ascii="黑体" w:hAnsi="Times New Roman" w:eastAsia="黑体" w:cs="Times New Roman"/>
                                <w:b w:val="0"/>
                                <w:bCs w:val="0"/>
                                <w:color w:val="002071"/>
                                <w:kern w:val="2"/>
                                <w:sz w:val="52"/>
                                <w:szCs w:val="52"/>
                                <w:lang w:val="en-US" w:eastAsia="zh-CN" w:bidi="ar-SA"/>
                              </w:rPr>
                            </w:pPr>
                          </w:p>
                          <w:p>
                            <w:pPr>
                              <w:pStyle w:val="19"/>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9"/>
                        <w:spacing w:before="0" w:after="0"/>
                        <w:rPr>
                          <w:rFonts w:ascii="黑体" w:hAnsi="黑体" w:eastAsia="黑体"/>
                          <w:b w:val="0"/>
                          <w:sz w:val="52"/>
                          <w:szCs w:val="52"/>
                        </w:rPr>
                      </w:pPr>
                      <w:bookmarkStart w:id="206" w:name="_Toc444776325"/>
                      <w:bookmarkStart w:id="207" w:name="_Toc440007486"/>
                      <w:r>
                        <w:rPr>
                          <w:rFonts w:hint="eastAsia" w:ascii="黑体" w:hAnsi="Times New Roman" w:eastAsia="黑体" w:cs="Times New Roman"/>
                          <w:b w:val="0"/>
                          <w:bCs w:val="0"/>
                          <w:color w:val="002071"/>
                          <w:kern w:val="2"/>
                          <w:sz w:val="52"/>
                          <w:szCs w:val="52"/>
                          <w:lang w:val="en-US" w:eastAsia="zh-CN" w:bidi="ar-SA"/>
                        </w:rPr>
                        <w:t>知识产权管理体系认证实施方案</w:t>
                      </w:r>
                      <w:bookmarkEnd w:id="206"/>
                      <w:bookmarkEnd w:id="207"/>
                    </w:p>
                    <w:p>
                      <w:pPr>
                        <w:jc w:val="center"/>
                        <w:rPr>
                          <w:rFonts w:hint="eastAsia" w:ascii="黑体" w:hAnsi="Times New Roman" w:eastAsia="黑体" w:cs="Times New Roman"/>
                          <w:b w:val="0"/>
                          <w:bCs w:val="0"/>
                          <w:color w:val="002071"/>
                          <w:kern w:val="2"/>
                          <w:sz w:val="52"/>
                          <w:szCs w:val="52"/>
                          <w:lang w:val="en-US" w:eastAsia="zh-CN" w:bidi="ar-SA"/>
                        </w:rPr>
                      </w:pPr>
                    </w:p>
                    <w:p>
                      <w:pPr>
                        <w:pStyle w:val="19"/>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20"/>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CQM/S-FN-15-014</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2020年01月17日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24</w:t>
            </w:r>
            <w:r>
              <w:rPr>
                <w:rFonts w:hint="eastAsia" w:ascii="隶书" w:hAnsi="思源黑体 CN Medium" w:eastAsia="隶书" w:cs="思源黑体 CN Medium"/>
                <w:color w:val="002071"/>
                <w:sz w:val="28"/>
                <w:szCs w:val="15"/>
                <w:highlight w:val="none"/>
              </w:rPr>
              <w:t xml:space="preserve">日 </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24</w:t>
            </w:r>
            <w:r>
              <w:rPr>
                <w:rFonts w:hint="eastAsia" w:ascii="隶书" w:hAnsi="思源黑体 CN Medium" w:eastAsia="隶书" w:cs="思源黑体 CN Medium"/>
                <w:color w:val="002071"/>
                <w:sz w:val="28"/>
                <w:szCs w:val="15"/>
                <w:highlight w:val="none"/>
              </w:rPr>
              <w:t xml:space="preserve">日  </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602" w:firstLineChars="200"/>
        <w:jc w:val="center"/>
        <w:rPr>
          <w:rFonts w:hint="eastAsia"/>
          <w:b/>
          <w:bCs/>
          <w:sz w:val="30"/>
          <w:highlight w:val="none"/>
        </w:rPr>
      </w:pPr>
    </w:p>
    <w:p>
      <w:pPr>
        <w:ind w:firstLine="602" w:firstLineChars="200"/>
        <w:jc w:val="center"/>
        <w:rPr>
          <w:b/>
          <w:bCs/>
          <w:sz w:val="30"/>
          <w:highlight w:val="none"/>
        </w:rPr>
      </w:pPr>
      <w:r>
        <w:rPr>
          <w:rFonts w:hint="eastAsia"/>
          <w:b/>
          <w:bCs/>
          <w:sz w:val="30"/>
          <w:highlight w:val="none"/>
        </w:rPr>
        <w:t>目    录</w:t>
      </w:r>
    </w:p>
    <w:p>
      <w:pPr>
        <w:pStyle w:val="15"/>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_Toc8988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_Toc8988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_Toc3999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_Toc3999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_Toc993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_Toc993 \h </w:instrText>
      </w:r>
      <w:r>
        <w:rPr>
          <w:highlight w:val="none"/>
        </w:rPr>
        <w:fldChar w:fldCharType="separate"/>
      </w:r>
      <w:r>
        <w:rPr>
          <w:highlight w:val="none"/>
        </w:rPr>
        <w:t>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_Toc10666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_Toc10666 \h </w:instrText>
      </w:r>
      <w:r>
        <w:rPr>
          <w:highlight w:val="none"/>
        </w:rPr>
        <w:fldChar w:fldCharType="separate"/>
      </w:r>
      <w:r>
        <w:rPr>
          <w:highlight w:val="none"/>
        </w:rPr>
        <w:t>3</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_Toc24788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_Toc24788 \h </w:instrText>
      </w:r>
      <w:r>
        <w:rPr>
          <w:highlight w:val="none"/>
        </w:rPr>
        <w:fldChar w:fldCharType="separate"/>
      </w:r>
      <w:r>
        <w:rPr>
          <w:highlight w:val="none"/>
        </w:rPr>
        <w:t>4</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_Toc28981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_Toc28981 \h </w:instrText>
      </w:r>
      <w:r>
        <w:rPr>
          <w:highlight w:val="none"/>
        </w:rPr>
        <w:fldChar w:fldCharType="separate"/>
      </w:r>
      <w:r>
        <w:rPr>
          <w:highlight w:val="none"/>
        </w:rPr>
        <w:t>5</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_Toc20514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_Toc20514 \h </w:instrText>
      </w:r>
      <w:r>
        <w:rPr>
          <w:highlight w:val="none"/>
        </w:rPr>
        <w:fldChar w:fldCharType="separate"/>
      </w:r>
      <w:r>
        <w:rPr>
          <w:highlight w:val="none"/>
        </w:rPr>
        <w:t>10</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_Toc11809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_Toc11809 \h </w:instrText>
      </w:r>
      <w:r>
        <w:rPr>
          <w:highlight w:val="none"/>
        </w:rPr>
        <w:fldChar w:fldCharType="separate"/>
      </w:r>
      <w:r>
        <w:rPr>
          <w:highlight w:val="none"/>
        </w:rPr>
        <w:t>10</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_Toc25346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_Toc25346 \h </w:instrText>
      </w:r>
      <w:r>
        <w:rPr>
          <w:highlight w:val="none"/>
        </w:rPr>
        <w:fldChar w:fldCharType="separate"/>
      </w:r>
      <w:r>
        <w:rPr>
          <w:highlight w:val="none"/>
        </w:rPr>
        <w:t>11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_Toc23094 </w:instrText>
      </w:r>
      <w:r>
        <w:rPr>
          <w:highlight w:val="none"/>
        </w:rPr>
        <w:fldChar w:fldCharType="separate"/>
      </w:r>
      <w:r>
        <w:rPr>
          <w:rFonts w:hint="eastAsia"/>
          <w:highlight w:val="none"/>
          <w:lang w:val="en-US" w:eastAsia="zh-CN"/>
        </w:rPr>
        <w:t>10</w:t>
      </w:r>
      <w:r>
        <w:rPr>
          <w:rFonts w:hint="eastAsia"/>
          <w:highlight w:val="none"/>
        </w:rPr>
        <w:t xml:space="preserve"> 认证的批准、</w:t>
      </w:r>
      <w:r>
        <w:rPr>
          <w:rFonts w:hint="eastAsia"/>
          <w:highlight w:val="none"/>
          <w:lang w:eastAsia="zh-CN"/>
        </w:rPr>
        <w:t>拒绝、</w:t>
      </w:r>
      <w:r>
        <w:rPr>
          <w:rFonts w:hint="eastAsia"/>
          <w:highlight w:val="none"/>
        </w:rPr>
        <w:t>保持、扩大、缩小、暂停、恢复和撤销的条件和程序</w:t>
      </w:r>
      <w:r>
        <w:rPr>
          <w:highlight w:val="none"/>
        </w:rPr>
        <w:tab/>
      </w:r>
      <w:r>
        <w:rPr>
          <w:highlight w:val="none"/>
        </w:rPr>
        <w:fldChar w:fldCharType="begin"/>
      </w:r>
      <w:r>
        <w:rPr>
          <w:highlight w:val="none"/>
        </w:rPr>
        <w:instrText xml:space="preserve"> PAGEREF _Toc23094 \h </w:instrText>
      </w:r>
      <w:r>
        <w:rPr>
          <w:highlight w:val="none"/>
        </w:rPr>
        <w:fldChar w:fldCharType="separate"/>
      </w:r>
      <w:r>
        <w:rPr>
          <w:highlight w:val="none"/>
        </w:rPr>
        <w:t>11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_Toc27590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_Toc27590 \h </w:instrText>
      </w:r>
      <w:r>
        <w:rPr>
          <w:highlight w:val="none"/>
        </w:rPr>
        <w:fldChar w:fldCharType="separate"/>
      </w:r>
      <w:r>
        <w:rPr>
          <w:highlight w:val="none"/>
        </w:rPr>
        <w:t>19</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_Toc26494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r>
        <w:rPr>
          <w:highlight w:val="none"/>
        </w:rPr>
        <w:tab/>
      </w:r>
      <w:r>
        <w:rPr>
          <w:highlight w:val="none"/>
        </w:rPr>
        <w:fldChar w:fldCharType="begin"/>
      </w:r>
      <w:r>
        <w:rPr>
          <w:highlight w:val="none"/>
        </w:rPr>
        <w:instrText xml:space="preserve"> PAGEREF _Toc26494 \h </w:instrText>
      </w:r>
      <w:r>
        <w:rPr>
          <w:highlight w:val="none"/>
        </w:rPr>
        <w:fldChar w:fldCharType="separate"/>
      </w:r>
      <w:r>
        <w:rPr>
          <w:highlight w:val="none"/>
        </w:rPr>
        <w:t>20</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_Toc24905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r>
        <w:rPr>
          <w:highlight w:val="none"/>
        </w:rPr>
        <w:tab/>
      </w:r>
      <w:r>
        <w:rPr>
          <w:highlight w:val="none"/>
        </w:rPr>
        <w:fldChar w:fldCharType="begin"/>
      </w:r>
      <w:r>
        <w:rPr>
          <w:highlight w:val="none"/>
        </w:rPr>
        <w:instrText xml:space="preserve"> PAGEREF _Toc24905 \h </w:instrText>
      </w:r>
      <w:r>
        <w:rPr>
          <w:highlight w:val="none"/>
        </w:rPr>
        <w:fldChar w:fldCharType="separate"/>
      </w:r>
      <w:r>
        <w:rPr>
          <w:highlight w:val="none"/>
        </w:rPr>
        <w:t>20</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_Toc29313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_Toc29313 \h </w:instrText>
      </w:r>
      <w:r>
        <w:rPr>
          <w:highlight w:val="none"/>
        </w:rPr>
        <w:fldChar w:fldCharType="separate"/>
      </w:r>
      <w:r>
        <w:rPr>
          <w:highlight w:val="none"/>
        </w:rPr>
        <w:t>21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_Toc12991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_Toc12991 \h </w:instrText>
      </w:r>
      <w:r>
        <w:rPr>
          <w:highlight w:val="none"/>
        </w:rPr>
        <w:fldChar w:fldCharType="separate"/>
      </w:r>
      <w:r>
        <w:rPr>
          <w:highlight w:val="none"/>
        </w:rPr>
        <w:t>21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_Toc1855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_Toc1855 \h </w:instrText>
      </w:r>
      <w:r>
        <w:rPr>
          <w:highlight w:val="none"/>
        </w:rPr>
        <w:fldChar w:fldCharType="separate"/>
      </w:r>
      <w:r>
        <w:rPr>
          <w:highlight w:val="none"/>
        </w:rPr>
        <w:t>21</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_Toc14148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_Toc14148 \h </w:instrText>
      </w:r>
      <w:r>
        <w:rPr>
          <w:highlight w:val="none"/>
        </w:rPr>
        <w:fldChar w:fldCharType="separate"/>
      </w:r>
      <w:r>
        <w:rPr>
          <w:highlight w:val="none"/>
        </w:rPr>
        <w:t>22</w:t>
      </w:r>
      <w:r>
        <w:rPr>
          <w:highlight w:val="none"/>
        </w:rPr>
        <w:fldChar w:fldCharType="end"/>
      </w:r>
      <w:r>
        <w:rPr>
          <w:highlight w:val="none"/>
        </w:rPr>
        <w:fldChar w:fldCharType="end"/>
      </w:r>
    </w:p>
    <w:p>
      <w:pPr>
        <w:pStyle w:val="15"/>
        <w:tabs>
          <w:tab w:val="right" w:leader="dot" w:pos="8312"/>
        </w:tabs>
        <w:rPr>
          <w:highlight w:val="none"/>
        </w:rPr>
      </w:pPr>
      <w:r>
        <w:rPr>
          <w:highlight w:val="none"/>
        </w:rPr>
        <w:fldChar w:fldCharType="begin"/>
      </w:r>
      <w:r>
        <w:rPr>
          <w:highlight w:val="none"/>
        </w:rPr>
        <w:instrText xml:space="preserve"> HYPERLINK \l _Toc5915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_Toc5915 \h </w:instrText>
      </w:r>
      <w:r>
        <w:rPr>
          <w:highlight w:val="none"/>
        </w:rPr>
        <w:fldChar w:fldCharType="separate"/>
      </w:r>
      <w:r>
        <w:rPr>
          <w:highlight w:val="none"/>
        </w:rPr>
        <w:t>22</w:t>
      </w:r>
      <w:r>
        <w:rPr>
          <w:highlight w:val="none"/>
        </w:rPr>
        <w:fldChar w:fldCharType="end"/>
      </w:r>
      <w:r>
        <w:rPr>
          <w:highlight w:val="none"/>
        </w:rPr>
        <w:fldChar w:fldCharType="end"/>
      </w:r>
    </w:p>
    <w:p>
      <w:pPr>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9"/>
        <w:keepNext w:val="0"/>
        <w:keepLines w:val="0"/>
        <w:pageBreakBefore w:val="0"/>
        <w:widowControl w:val="0"/>
        <w:kinsoku/>
        <w:wordWrap/>
        <w:overflowPunct/>
        <w:topLinePunct w:val="0"/>
        <w:autoSpaceDE/>
        <w:autoSpaceDN/>
        <w:bidi w:val="0"/>
        <w:adjustRightInd/>
        <w:snapToGrid/>
        <w:spacing w:before="0" w:after="0"/>
        <w:textAlignment w:val="auto"/>
        <w:rPr>
          <w:rFonts w:ascii="黑体" w:hAnsi="黑体" w:eastAsia="黑体"/>
          <w:b w:val="0"/>
          <w:sz w:val="48"/>
          <w:szCs w:val="48"/>
          <w:highlight w:val="none"/>
        </w:rPr>
      </w:pPr>
      <w:bookmarkStart w:id="0" w:name="_Toc30925"/>
      <w:bookmarkStart w:id="1" w:name="_Toc444776326"/>
      <w:bookmarkStart w:id="2" w:name="_Toc440007487"/>
      <w:bookmarkStart w:id="3" w:name="_Toc6389"/>
      <w:r>
        <w:rPr>
          <w:rFonts w:hint="eastAsia" w:ascii="黑体" w:hAnsi="黑体" w:eastAsia="黑体"/>
          <w:b w:val="0"/>
          <w:sz w:val="36"/>
          <w:szCs w:val="36"/>
          <w:highlight w:val="none"/>
          <w:lang w:eastAsia="zh-CN"/>
        </w:rPr>
        <w:t>知识产权</w:t>
      </w:r>
      <w:r>
        <w:rPr>
          <w:rFonts w:hint="eastAsia" w:ascii="黑体" w:hAnsi="黑体" w:eastAsia="黑体"/>
          <w:b w:val="0"/>
          <w:sz w:val="36"/>
          <w:szCs w:val="36"/>
          <w:highlight w:val="none"/>
        </w:rPr>
        <w:t>管理体系认证实施方案</w:t>
      </w:r>
      <w:bookmarkEnd w:id="0"/>
      <w:bookmarkEnd w:id="1"/>
      <w:bookmarkEnd w:id="2"/>
      <w:bookmarkEnd w:id="3"/>
    </w:p>
    <w:p>
      <w:pPr>
        <w:spacing w:line="360" w:lineRule="auto"/>
        <w:ind w:firstLine="720" w:firstLineChars="200"/>
        <w:jc w:val="center"/>
        <w:rPr>
          <w:rFonts w:hint="eastAsia" w:ascii="黑体" w:eastAsia="黑体"/>
          <w:sz w:val="36"/>
          <w:szCs w:val="36"/>
          <w:highlight w:val="none"/>
        </w:rPr>
      </w:pPr>
    </w:p>
    <w:p>
      <w:pPr>
        <w:pStyle w:val="2"/>
        <w:spacing w:line="360" w:lineRule="auto"/>
        <w:rPr>
          <w:rFonts w:hint="eastAsia"/>
          <w:highlight w:val="none"/>
        </w:rPr>
      </w:pPr>
      <w:bookmarkStart w:id="4" w:name="_Toc85103622"/>
      <w:bookmarkStart w:id="5" w:name="_Toc85256247"/>
      <w:bookmarkStart w:id="6" w:name="_Toc185325622"/>
      <w:bookmarkStart w:id="7" w:name="_Toc85105511"/>
      <w:bookmarkStart w:id="8" w:name="_Toc8988"/>
      <w:r>
        <w:rPr>
          <w:highlight w:val="none"/>
        </w:rPr>
        <w:t>1</w:t>
      </w:r>
      <w:r>
        <w:rPr>
          <w:rFonts w:hint="eastAsia"/>
          <w:highlight w:val="none"/>
        </w:rPr>
        <w:t xml:space="preserve"> 适用范围</w:t>
      </w:r>
      <w:bookmarkEnd w:id="4"/>
      <w:bookmarkEnd w:id="5"/>
      <w:bookmarkEnd w:id="6"/>
      <w:bookmarkEnd w:id="7"/>
      <w:bookmarkEnd w:id="8"/>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本认证方案适用于方圆标志认证集团有限公司（以下简称：CQM）实施知识产权管理体系认证，满足第三方认证制度要求，作为提供认证服务的规范。必要时，在认证合同中补充相关的技术要求。</w:t>
      </w:r>
    </w:p>
    <w:p>
      <w:pPr>
        <w:spacing w:line="360" w:lineRule="auto"/>
        <w:ind w:firstLine="480" w:firstLineChars="200"/>
        <w:rPr>
          <w:rFonts w:hint="eastAsia"/>
          <w:sz w:val="24"/>
          <w:highlight w:val="none"/>
        </w:rPr>
      </w:pPr>
      <w:r>
        <w:rPr>
          <w:rFonts w:hint="eastAsia"/>
          <w:sz w:val="24"/>
          <w:highlight w:val="none"/>
        </w:rPr>
        <w:t>本认证方案在认证双方签订合同时予以确认和采用。</w:t>
      </w:r>
      <w:bookmarkStart w:id="9" w:name="_Toc33599577"/>
      <w:bookmarkStart w:id="10" w:name="_Toc85105512"/>
      <w:bookmarkStart w:id="11" w:name="_Toc33599704"/>
      <w:bookmarkStart w:id="12" w:name="_Toc33598962"/>
      <w:bookmarkStart w:id="13" w:name="_Toc85256248"/>
      <w:bookmarkStart w:id="14" w:name="_Toc33598902"/>
      <w:bookmarkStart w:id="15" w:name="_Toc33598531"/>
      <w:bookmarkStart w:id="16" w:name="_Toc33600362"/>
      <w:bookmarkStart w:id="17" w:name="_Toc33600411"/>
      <w:bookmarkStart w:id="18" w:name="_Toc85103623"/>
    </w:p>
    <w:p>
      <w:pPr>
        <w:pStyle w:val="2"/>
        <w:spacing w:line="360" w:lineRule="auto"/>
        <w:rPr>
          <w:rFonts w:hint="eastAsia"/>
          <w:highlight w:val="none"/>
        </w:rPr>
      </w:pPr>
      <w:bookmarkStart w:id="19" w:name="_Toc185325623"/>
      <w:bookmarkStart w:id="20" w:name="_Toc3999"/>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9"/>
      <w:bookmarkEnd w:id="10"/>
      <w:bookmarkEnd w:id="11"/>
      <w:bookmarkEnd w:id="12"/>
      <w:bookmarkEnd w:id="13"/>
      <w:bookmarkEnd w:id="14"/>
      <w:bookmarkEnd w:id="15"/>
      <w:bookmarkEnd w:id="16"/>
      <w:bookmarkEnd w:id="17"/>
      <w:bookmarkEnd w:id="18"/>
      <w:bookmarkEnd w:id="19"/>
      <w:bookmarkEnd w:id="20"/>
    </w:p>
    <w:p>
      <w:pPr>
        <w:numPr>
          <w:ilvl w:val="0"/>
          <w:numId w:val="0"/>
        </w:numPr>
        <w:spacing w:line="360" w:lineRule="auto"/>
        <w:rPr>
          <w:rFonts w:hint="eastAsia" w:ascii="宋体" w:hAnsi="宋体" w:eastAsia="宋体" w:cs="宋体"/>
          <w:color w:val="000000"/>
          <w:sz w:val="24"/>
          <w:highlight w:val="none"/>
          <w:lang w:val="en-US" w:eastAsia="zh-CN"/>
        </w:rPr>
      </w:pPr>
      <w:r>
        <w:rPr>
          <w:rFonts w:hint="eastAsia" w:ascii="宋体" w:hAnsi="宋体"/>
          <w:sz w:val="24"/>
          <w:highlight w:val="none"/>
          <w:lang w:val="en-US" w:eastAsia="zh-CN"/>
        </w:rPr>
        <w:t>认证依据：</w:t>
      </w:r>
      <w:r>
        <w:rPr>
          <w:rFonts w:hint="eastAsia" w:ascii="宋体" w:hAnsi="宋体" w:eastAsia="宋体" w:cs="宋体"/>
          <w:color w:val="000000"/>
          <w:sz w:val="24"/>
          <w:highlight w:val="none"/>
        </w:rPr>
        <w:t>GB/T 29490</w:t>
      </w:r>
      <w:r>
        <w:rPr>
          <w:rFonts w:hint="eastAsia" w:ascii="宋体" w:hAnsi="宋体" w:cs="宋体"/>
          <w:color w:val="000000"/>
          <w:sz w:val="24"/>
          <w:highlight w:val="none"/>
          <w:lang w:val="en-US" w:eastAsia="zh-CN"/>
        </w:rPr>
        <w:t>-2023</w:t>
      </w:r>
      <w:r>
        <w:rPr>
          <w:rFonts w:hint="eastAsia" w:ascii="宋体" w:hAnsi="宋体" w:eastAsia="宋体" w:cs="宋体"/>
          <w:color w:val="000000"/>
          <w:sz w:val="24"/>
          <w:highlight w:val="none"/>
        </w:rPr>
        <w:t>《企业知识产权</w:t>
      </w:r>
      <w:r>
        <w:rPr>
          <w:rFonts w:hint="eastAsia" w:ascii="宋体" w:hAnsi="宋体" w:cs="宋体"/>
          <w:color w:val="000000"/>
          <w:sz w:val="24"/>
          <w:highlight w:val="none"/>
          <w:lang w:val="en-US" w:eastAsia="zh-CN"/>
        </w:rPr>
        <w:t>合规</w:t>
      </w:r>
      <w:r>
        <w:rPr>
          <w:rFonts w:hint="eastAsia" w:ascii="宋体" w:hAnsi="宋体" w:eastAsia="宋体" w:cs="宋体"/>
          <w:color w:val="000000"/>
          <w:sz w:val="24"/>
          <w:highlight w:val="none"/>
        </w:rPr>
        <w:t>管理</w:t>
      </w:r>
      <w:r>
        <w:rPr>
          <w:rFonts w:hint="eastAsia" w:ascii="宋体" w:hAnsi="宋体" w:cs="宋体"/>
          <w:color w:val="000000"/>
          <w:sz w:val="24"/>
          <w:highlight w:val="none"/>
          <w:lang w:val="en-US" w:eastAsia="zh-CN"/>
        </w:rPr>
        <w:t>体系 要求</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或</w:t>
      </w:r>
    </w:p>
    <w:p>
      <w:pPr>
        <w:numPr>
          <w:ilvl w:val="0"/>
          <w:numId w:val="0"/>
        </w:numPr>
        <w:spacing w:line="360" w:lineRule="auto"/>
        <w:ind w:firstLine="240" w:firstLineChars="100"/>
        <w:rPr>
          <w:rFonts w:hint="eastAsia" w:ascii="宋体" w:hAnsi="宋体"/>
          <w:bCs/>
          <w:sz w:val="24"/>
          <w:highlight w:val="none"/>
          <w:lang w:val="en-US" w:eastAsia="zh-CN"/>
        </w:rPr>
      </w:pPr>
      <w:r>
        <w:rPr>
          <w:rFonts w:hint="eastAsia" w:ascii="宋体" w:hAnsi="宋体"/>
          <w:bCs/>
          <w:sz w:val="24"/>
          <w:highlight w:val="none"/>
        </w:rPr>
        <w:t>GB/T29490-20</w:t>
      </w:r>
      <w:r>
        <w:rPr>
          <w:rFonts w:hint="eastAsia" w:ascii="宋体" w:hAnsi="宋体"/>
          <w:bCs/>
          <w:sz w:val="24"/>
          <w:highlight w:val="none"/>
          <w:lang w:val="en-US" w:eastAsia="zh-CN"/>
        </w:rPr>
        <w:t>1</w:t>
      </w:r>
      <w:r>
        <w:rPr>
          <w:rFonts w:hint="eastAsia" w:ascii="宋体" w:hAnsi="宋体"/>
          <w:bCs/>
          <w:sz w:val="24"/>
          <w:highlight w:val="none"/>
        </w:rPr>
        <w:t>3</w:t>
      </w:r>
      <w:r>
        <w:rPr>
          <w:rFonts w:hint="eastAsia" w:ascii="宋体" w:hAnsi="宋体"/>
          <w:bCs/>
          <w:sz w:val="24"/>
          <w:highlight w:val="none"/>
          <w:lang w:eastAsia="zh-CN"/>
        </w:rPr>
        <w:t>《</w:t>
      </w:r>
      <w:r>
        <w:rPr>
          <w:rFonts w:hint="eastAsia" w:ascii="宋体" w:hAnsi="宋体"/>
          <w:bCs/>
          <w:sz w:val="24"/>
          <w:highlight w:val="none"/>
        </w:rPr>
        <w:t>企业知识产权管理规范</w:t>
      </w:r>
      <w:r>
        <w:rPr>
          <w:rFonts w:hint="eastAsia" w:ascii="宋体" w:hAnsi="宋体"/>
          <w:bCs/>
          <w:sz w:val="24"/>
          <w:highlight w:val="none"/>
          <w:lang w:eastAsia="zh-CN"/>
        </w:rPr>
        <w:t>》（</w:t>
      </w:r>
      <w:bookmarkStart w:id="21" w:name="OLE_LINK2"/>
      <w:r>
        <w:rPr>
          <w:rFonts w:hint="eastAsia" w:ascii="宋体" w:hAnsi="宋体"/>
          <w:bCs/>
          <w:sz w:val="24"/>
          <w:highlight w:val="none"/>
          <w:lang w:val="en-US" w:eastAsia="zh-CN"/>
        </w:rPr>
        <w:t>2026年1月1日失效</w:t>
      </w:r>
      <w:r>
        <w:rPr>
          <w:rFonts w:hint="eastAsia" w:ascii="宋体" w:hAnsi="宋体"/>
          <w:bCs/>
          <w:sz w:val="24"/>
          <w:highlight w:val="none"/>
          <w:lang w:eastAsia="zh-CN"/>
        </w:rPr>
        <w:t>）</w:t>
      </w:r>
      <w:bookmarkEnd w:id="21"/>
      <w:r>
        <w:rPr>
          <w:rFonts w:hint="eastAsia" w:ascii="宋体" w:hAnsi="宋体"/>
          <w:bCs/>
          <w:sz w:val="24"/>
          <w:highlight w:val="none"/>
          <w:lang w:eastAsia="zh-CN"/>
        </w:rPr>
        <w:t>；</w:t>
      </w:r>
      <w:r>
        <w:rPr>
          <w:rFonts w:hint="eastAsia" w:ascii="宋体" w:hAnsi="宋体"/>
          <w:bCs/>
          <w:sz w:val="24"/>
          <w:highlight w:val="none"/>
          <w:lang w:val="en-US" w:eastAsia="zh-CN"/>
        </w:rPr>
        <w:t>或</w:t>
      </w:r>
    </w:p>
    <w:p>
      <w:pPr>
        <w:numPr>
          <w:ilvl w:val="0"/>
          <w:numId w:val="0"/>
        </w:numPr>
        <w:spacing w:line="360" w:lineRule="auto"/>
        <w:rPr>
          <w:rFonts w:hint="eastAsia" w:ascii="宋体" w:hAnsi="宋体" w:eastAsia="宋体" w:cs="宋体"/>
          <w:color w:val="000000"/>
          <w:sz w:val="24"/>
          <w:highlight w:val="none"/>
          <w:lang w:val="en-US" w:eastAsia="zh-CN"/>
        </w:rPr>
      </w:pPr>
      <w:r>
        <w:rPr>
          <w:rFonts w:hint="eastAsia" w:ascii="宋体" w:hAnsi="宋体"/>
          <w:bCs/>
          <w:sz w:val="24"/>
          <w:highlight w:val="none"/>
          <w:lang w:val="en-US" w:eastAsia="zh-CN"/>
        </w:rPr>
        <w:t xml:space="preserve">  </w:t>
      </w:r>
      <w:r>
        <w:rPr>
          <w:rFonts w:hint="eastAsia" w:ascii="宋体" w:hAnsi="宋体" w:eastAsia="宋体" w:cs="宋体"/>
          <w:color w:val="000000"/>
          <w:sz w:val="24"/>
          <w:highlight w:val="none"/>
        </w:rPr>
        <w:t>GB/T 33250</w:t>
      </w:r>
      <w:r>
        <w:rPr>
          <w:rFonts w:hint="eastAsia" w:ascii="宋体" w:hAnsi="宋体" w:cs="宋体"/>
          <w:color w:val="000000"/>
          <w:sz w:val="24"/>
          <w:highlight w:val="none"/>
          <w:lang w:val="en-US" w:eastAsia="zh-CN"/>
        </w:rPr>
        <w:t>-2016</w:t>
      </w:r>
      <w:r>
        <w:rPr>
          <w:rFonts w:hint="eastAsia" w:ascii="宋体" w:hAnsi="宋体" w:eastAsia="宋体" w:cs="宋体"/>
          <w:color w:val="000000"/>
          <w:sz w:val="24"/>
          <w:highlight w:val="none"/>
        </w:rPr>
        <w:t>《科研组织知识产权管理规范》；</w:t>
      </w:r>
      <w:r>
        <w:rPr>
          <w:rFonts w:hint="eastAsia" w:ascii="宋体" w:hAnsi="宋体" w:cs="宋体"/>
          <w:color w:val="000000"/>
          <w:sz w:val="24"/>
          <w:highlight w:val="none"/>
          <w:lang w:val="en-US" w:eastAsia="zh-CN"/>
        </w:rPr>
        <w:t>或</w:t>
      </w:r>
    </w:p>
    <w:p>
      <w:pPr>
        <w:numPr>
          <w:ilvl w:val="0"/>
          <w:numId w:val="0"/>
        </w:numPr>
        <w:spacing w:line="360" w:lineRule="auto"/>
        <w:ind w:firstLine="240" w:firstLineChars="100"/>
        <w:rPr>
          <w:rFonts w:hint="eastAsia" w:ascii="宋体" w:hAnsi="宋体" w:eastAsia="宋体" w:cs="宋体"/>
          <w:color w:val="000000"/>
          <w:sz w:val="24"/>
          <w:highlight w:val="none"/>
        </w:rPr>
      </w:pPr>
      <w:r>
        <w:rPr>
          <w:rFonts w:hint="eastAsia" w:ascii="宋体" w:hAnsi="宋体" w:eastAsia="宋体" w:cs="宋体"/>
          <w:color w:val="000000"/>
          <w:sz w:val="24"/>
          <w:highlight w:val="none"/>
        </w:rPr>
        <w:t>GB/T 33251</w:t>
      </w:r>
      <w:r>
        <w:rPr>
          <w:rFonts w:hint="eastAsia" w:ascii="宋体" w:hAnsi="宋体" w:cs="宋体"/>
          <w:color w:val="000000"/>
          <w:sz w:val="24"/>
          <w:highlight w:val="none"/>
          <w:lang w:val="en-US" w:eastAsia="zh-CN"/>
        </w:rPr>
        <w:t>-2016</w:t>
      </w:r>
      <w:r>
        <w:rPr>
          <w:rFonts w:hint="eastAsia" w:ascii="宋体" w:hAnsi="宋体" w:eastAsia="宋体" w:cs="宋体"/>
          <w:color w:val="000000"/>
          <w:sz w:val="24"/>
          <w:highlight w:val="none"/>
        </w:rPr>
        <w:t>《高等学校知识产权管理规范》。</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pStyle w:val="2"/>
        <w:spacing w:line="360" w:lineRule="auto"/>
        <w:rPr>
          <w:rFonts w:hint="eastAsia"/>
          <w:highlight w:val="none"/>
          <w:lang w:eastAsia="zh-CN"/>
        </w:rPr>
      </w:pPr>
      <w:bookmarkStart w:id="22" w:name="_Toc85256249"/>
      <w:bookmarkStart w:id="23" w:name="_Toc85103624"/>
      <w:bookmarkStart w:id="24" w:name="_Toc185325624"/>
      <w:bookmarkStart w:id="25" w:name="_Toc85105513"/>
      <w:bookmarkStart w:id="26" w:name="_Toc993"/>
      <w:r>
        <w:rPr>
          <w:highlight w:val="none"/>
        </w:rPr>
        <w:pict>
          <v:shape id="Object 26" o:spid="_x0000_s1046" o:spt="75" type="#_x0000_t75" style="position:absolute;left:0pt;margin-left:107.6pt;margin-top:6.7pt;height:286pt;width:226.5pt;z-index:251663360;mso-width-relative:page;mso-height-relative:page;" o:ole="t" filled="f" o:preferrelative="t" stroked="f" coordsize="21600,21600">
            <v:path/>
            <v:fill on="f" alignshape="1" focussize="0,0"/>
            <v:stroke on="f"/>
            <v:imagedata r:id="rId12" o:title=""/>
            <o:lock v:ext="edit" aspectratio="t"/>
          </v:shape>
          <o:OLEObject Type="Embed" ProgID="" ShapeID="Object 26" DrawAspect="Content" ObjectID="_1468075725" r:id="rId11">
            <o:LockedField>false</o:LockedField>
          </o:OLEObject>
        </w:pict>
      </w:r>
      <w:r>
        <w:rPr>
          <w:rFonts w:hint="eastAsia"/>
          <w:highlight w:val="none"/>
        </w:rPr>
        <w:t>3 认证过程流程图</w:t>
      </w:r>
      <w:bookmarkEnd w:id="22"/>
      <w:bookmarkEnd w:id="23"/>
      <w:bookmarkEnd w:id="24"/>
      <w:bookmarkEnd w:id="25"/>
      <w:bookmarkEnd w:id="26"/>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spacing w:line="360" w:lineRule="auto"/>
        <w:rPr>
          <w:rFonts w:hint="eastAsia"/>
          <w:highlight w:val="none"/>
        </w:rPr>
      </w:pPr>
    </w:p>
    <w:p>
      <w:pPr>
        <w:pStyle w:val="2"/>
        <w:spacing w:line="360" w:lineRule="auto"/>
        <w:rPr>
          <w:rFonts w:hint="eastAsia"/>
          <w:highlight w:val="none"/>
          <w:lang w:eastAsia="zh-CN"/>
        </w:rPr>
      </w:pPr>
      <w:bookmarkStart w:id="27" w:name="_Toc33599578"/>
      <w:bookmarkStart w:id="28" w:name="_Toc33598532"/>
      <w:bookmarkStart w:id="29" w:name="_Toc33600363"/>
      <w:bookmarkStart w:id="30" w:name="_Toc33598903"/>
      <w:bookmarkStart w:id="31" w:name="_Toc33599705"/>
      <w:bookmarkStart w:id="32" w:name="_Toc85256250"/>
      <w:bookmarkStart w:id="33" w:name="_Toc85103625"/>
      <w:bookmarkStart w:id="34" w:name="_Toc33598963"/>
      <w:bookmarkStart w:id="35" w:name="_Toc85105514"/>
      <w:bookmarkStart w:id="36" w:name="_Toc33600412"/>
      <w:bookmarkStart w:id="37" w:name="_Toc185325625"/>
      <w:bookmarkStart w:id="38" w:name="_Toc10666"/>
      <w:r>
        <w:rPr>
          <w:rFonts w:hint="eastAsia"/>
          <w:highlight w:val="none"/>
        </w:rPr>
        <w:t>4 认证申请</w:t>
      </w:r>
      <w:bookmarkEnd w:id="27"/>
      <w:bookmarkEnd w:id="28"/>
      <w:bookmarkEnd w:id="29"/>
      <w:bookmarkEnd w:id="30"/>
      <w:bookmarkEnd w:id="31"/>
      <w:bookmarkEnd w:id="32"/>
      <w:bookmarkEnd w:id="33"/>
      <w:bookmarkEnd w:id="34"/>
      <w:bookmarkEnd w:id="35"/>
      <w:bookmarkEnd w:id="36"/>
      <w:bookmarkEnd w:id="37"/>
      <w:r>
        <w:rPr>
          <w:rFonts w:hint="eastAsia"/>
          <w:highlight w:val="none"/>
          <w:lang w:val="en-US" w:eastAsia="zh-CN"/>
        </w:rPr>
        <w:t>及评审</w:t>
      </w:r>
      <w:bookmarkEnd w:id="38"/>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ind w:left="840" w:leftChars="0" w:hanging="400" w:firstLineChars="0"/>
        <w:rPr>
          <w:rFonts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认证客户应有知识产权（专利、商标、版权等），要有研发或生产活动，客户办公场所应配备电脑、打印机、桌椅等基本办公设施，以确保体系可以有效运行；</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认证客户未受到知识产权行政处罚或被知识产权行政管理部门或者其他部门责令停业整顿，或者纳入国家信用信息失信主体名录或</w:t>
      </w:r>
      <w:r>
        <w:rPr>
          <w:rFonts w:hint="eastAsia" w:ascii="宋体" w:hAnsi="宋体" w:cs="宋体"/>
          <w:color w:val="000000"/>
          <w:sz w:val="24"/>
          <w:highlight w:val="none"/>
          <w:lang w:eastAsia="zh-CN"/>
        </w:rPr>
        <w:t>在国家企业信用信息公示系统</w:t>
      </w:r>
      <w:r>
        <w:rPr>
          <w:rFonts w:hint="eastAsia" w:ascii="宋体" w:hAnsi="宋体" w:eastAsia="宋体" w:cs="宋体"/>
          <w:color w:val="000000"/>
          <w:sz w:val="24"/>
          <w:highlight w:val="none"/>
        </w:rPr>
        <w:t>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eastAsia="宋体" w:cs="宋体"/>
          <w:color w:val="000000"/>
          <w:sz w:val="24"/>
          <w:highlight w:val="none"/>
        </w:rPr>
        <w:t>或虚报、瞒报获证所需信息的情况；</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认证客户承诺获得CQM认证后，按规定使用认证证书和认证标志和有关信息，不得擅自利用管理体系认证证书的文字、符号误导公众认为其产品或服务通过认证</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rPr>
        <w:t>按合同支付认证费用，并按规定接受监督；</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承诺获得CQM认证后，按照CQM要求向CQM通报管理体系变更的信息和其他可能影响管理体系持续满足认证标准要求的能力的事宜的信息，一般包括：客户及相关方有重大投诉；发生知识产权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认证审核期间，认证客户能够提供与拟认证范围相关的活动或过程。</w:t>
      </w:r>
    </w:p>
    <w:p>
      <w:pPr>
        <w:numPr>
          <w:ilvl w:val="0"/>
          <w:numId w:val="1"/>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在有要求时，接受CNAS的见证评审及确认审核并提供必要的支持。</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黑体" w:hAnsi="黑体" w:eastAsia="黑体" w:cs="Arial"/>
          <w:color w:val="000000"/>
          <w:sz w:val="22"/>
          <w:szCs w:val="22"/>
          <w:highlight w:val="none"/>
        </w:rPr>
      </w:pPr>
      <w:r>
        <w:rPr>
          <w:rFonts w:hint="eastAsia" w:ascii="黑体" w:hAnsi="黑体" w:eastAsia="黑体" w:cs="Arial"/>
          <w:color w:val="000000"/>
          <w:sz w:val="22"/>
          <w:szCs w:val="22"/>
          <w:highlight w:val="none"/>
        </w:rPr>
        <w:t>注：“</w:t>
      </w:r>
      <w:r>
        <w:rPr>
          <w:rFonts w:hint="eastAsia" w:ascii="黑体" w:hAnsi="黑体" w:eastAsia="黑体"/>
          <w:sz w:val="22"/>
          <w:szCs w:val="22"/>
          <w:highlight w:val="none"/>
        </w:rPr>
        <w:t>发生知识产权重大事故</w:t>
      </w:r>
      <w:r>
        <w:rPr>
          <w:rFonts w:hint="eastAsia" w:ascii="黑体" w:hAnsi="黑体" w:eastAsia="黑体" w:cs="Arial"/>
          <w:color w:val="000000"/>
          <w:sz w:val="22"/>
          <w:szCs w:val="22"/>
          <w:highlight w:val="none"/>
        </w:rPr>
        <w:t>”是指认证客户发生具有下列影响知识产权事件：</w:t>
      </w:r>
    </w:p>
    <w:p>
      <w:pPr>
        <w:numPr>
          <w:ilvl w:val="0"/>
          <w:numId w:val="0"/>
        </w:numPr>
        <w:spacing w:line="360" w:lineRule="auto"/>
        <w:ind w:firstLine="440" w:firstLineChars="200"/>
        <w:rPr>
          <w:rFonts w:hint="eastAsia" w:ascii="黑体" w:hAnsi="黑体" w:eastAsia="黑体" w:cs="Arial"/>
          <w:color w:val="000000"/>
          <w:sz w:val="22"/>
          <w:szCs w:val="22"/>
          <w:highlight w:val="none"/>
        </w:rPr>
      </w:pPr>
      <w:r>
        <w:rPr>
          <w:rFonts w:hint="eastAsia" w:ascii="黑体" w:hAnsi="黑体" w:eastAsia="黑体" w:cs="Arial"/>
          <w:color w:val="000000"/>
          <w:sz w:val="22"/>
          <w:szCs w:val="22"/>
          <w:highlight w:val="none"/>
          <w:lang w:val="en-US" w:eastAsia="zh-CN"/>
        </w:rPr>
        <w:t xml:space="preserve">-- </w:t>
      </w:r>
      <w:r>
        <w:rPr>
          <w:rFonts w:hint="eastAsia" w:ascii="黑体" w:hAnsi="黑体" w:eastAsia="黑体" w:cs="Arial"/>
          <w:color w:val="000000"/>
          <w:sz w:val="22"/>
          <w:szCs w:val="22"/>
          <w:highlight w:val="none"/>
        </w:rPr>
        <w:t>被司法机关认定为反复恶意侵犯知识产权的事件；</w:t>
      </w:r>
    </w:p>
    <w:p>
      <w:pPr>
        <w:numPr>
          <w:ilvl w:val="0"/>
          <w:numId w:val="0"/>
        </w:numPr>
        <w:spacing w:line="360" w:lineRule="auto"/>
        <w:ind w:firstLine="440" w:firstLineChars="200"/>
        <w:rPr>
          <w:rFonts w:hint="eastAsia" w:ascii="黑体" w:hAnsi="黑体" w:eastAsia="黑体" w:cs="Arial"/>
          <w:color w:val="000000"/>
          <w:sz w:val="22"/>
          <w:szCs w:val="22"/>
          <w:highlight w:val="none"/>
        </w:rPr>
      </w:pPr>
      <w:r>
        <w:rPr>
          <w:rFonts w:hint="eastAsia" w:ascii="黑体" w:hAnsi="黑体" w:eastAsia="黑体" w:cs="Arial"/>
          <w:color w:val="000000"/>
          <w:sz w:val="22"/>
          <w:szCs w:val="22"/>
          <w:highlight w:val="none"/>
          <w:lang w:val="en-US" w:eastAsia="zh-CN"/>
        </w:rPr>
        <w:t>--</w:t>
      </w:r>
      <w:r>
        <w:rPr>
          <w:rFonts w:eastAsia="仿宋_GB2312"/>
          <w:color w:val="000000"/>
          <w:sz w:val="24"/>
          <w:szCs w:val="13"/>
          <w:highlight w:val="none"/>
        </w:rPr>
        <w:t xml:space="preserve"> </w:t>
      </w:r>
      <w:r>
        <w:rPr>
          <w:rFonts w:hint="eastAsia" w:ascii="黑体" w:hAnsi="黑体" w:eastAsia="黑体" w:cs="Arial"/>
          <w:color w:val="000000"/>
          <w:sz w:val="22"/>
          <w:szCs w:val="22"/>
          <w:highlight w:val="none"/>
        </w:rPr>
        <w:t>因知识产权保护问题生纠纷并造成不良社会影响的；</w:t>
      </w:r>
    </w:p>
    <w:p>
      <w:pPr>
        <w:numPr>
          <w:ilvl w:val="0"/>
          <w:numId w:val="0"/>
        </w:numPr>
        <w:spacing w:line="360" w:lineRule="auto"/>
        <w:ind w:firstLine="440" w:firstLineChars="200"/>
        <w:rPr>
          <w:rFonts w:hint="eastAsia" w:ascii="黑体" w:hAnsi="黑体" w:eastAsia="黑体" w:cs="Arial"/>
          <w:color w:val="000000"/>
          <w:sz w:val="22"/>
          <w:szCs w:val="22"/>
          <w:highlight w:val="none"/>
        </w:rPr>
      </w:pPr>
      <w:r>
        <w:rPr>
          <w:rFonts w:hint="eastAsia" w:ascii="黑体" w:hAnsi="黑体" w:eastAsia="黑体" w:cs="Arial"/>
          <w:color w:val="000000"/>
          <w:sz w:val="22"/>
          <w:szCs w:val="22"/>
          <w:highlight w:val="none"/>
          <w:lang w:val="en-US" w:eastAsia="zh-CN"/>
        </w:rPr>
        <w:t xml:space="preserve">-- </w:t>
      </w:r>
      <w:r>
        <w:rPr>
          <w:rFonts w:hint="eastAsia" w:ascii="黑体" w:hAnsi="黑体" w:eastAsia="黑体" w:cs="Arial"/>
          <w:color w:val="000000"/>
          <w:sz w:val="22"/>
          <w:szCs w:val="22"/>
          <w:highlight w:val="none"/>
        </w:rPr>
        <w:t>被知识产权行政主管部门予以处罚的 。</w:t>
      </w:r>
    </w:p>
    <w:p>
      <w:pPr>
        <w:spacing w:line="360" w:lineRule="auto"/>
        <w:rPr>
          <w:rFonts w:hint="eastAsia" w:ascii="宋体" w:hAnsi="宋体" w:cs="宋体"/>
          <w:sz w:val="24"/>
          <w:highlight w:val="none"/>
        </w:rPr>
      </w:pPr>
      <w:r>
        <w:rPr>
          <w:rFonts w:hint="eastAsia" w:ascii="宋体" w:hAnsi="宋体" w:cs="宋体"/>
          <w:sz w:val="24"/>
          <w:highlight w:val="none"/>
        </w:rPr>
        <w:t>4.2不予受理认证申请的情形</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认证客户的知识产权与其实际经营范围明显不符的；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认证客户的规模、人数或经营状况明显不适于知识产权管理体系运行的；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认证客户为非正常专利申请主体的；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认证客户从事知识产权服务活动的；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认证客户或认证客户的法人代表被全国信用信息系统、信用中国等纳入失信主体的；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认证客户无任何知识产权</w:t>
      </w:r>
      <w:r>
        <w:rPr>
          <w:rFonts w:hint="eastAsia" w:ascii="宋体" w:hAnsi="宋体" w:cs="宋体"/>
          <w:color w:val="000000"/>
          <w:sz w:val="24"/>
          <w:highlight w:val="none"/>
          <w:lang w:val="en-US" w:eastAsia="zh-CN"/>
        </w:rPr>
        <w:t>相关活动</w:t>
      </w:r>
      <w:r>
        <w:rPr>
          <w:rFonts w:hint="default" w:ascii="宋体" w:hAnsi="宋体" w:eastAsia="宋体" w:cs="宋体"/>
          <w:color w:val="000000"/>
          <w:sz w:val="24"/>
          <w:highlight w:val="none"/>
          <w:lang w:val="en-US"/>
        </w:rPr>
        <w:t>，进一步沟通了解其经营过程也无创新活动的</w:t>
      </w:r>
      <w:r>
        <w:rPr>
          <w:rFonts w:hint="eastAsia" w:ascii="宋体" w:hAnsi="宋体" w:eastAsia="宋体" w:cs="宋体"/>
          <w:color w:val="000000"/>
          <w:sz w:val="24"/>
          <w:highlight w:val="none"/>
        </w:rPr>
        <w:t>；</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认证客户被知识产权行政执法部门或其他部门责令停业整顿或被行政处罚并处在处罚执行期的；</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认证客户涉及国家安全、政治组织、社会民俗、民族宗教等领域的，在国家认监委统筹安排前，不予受理；</w:t>
      </w:r>
    </w:p>
    <w:p>
      <w:pPr>
        <w:numPr>
          <w:ilvl w:val="0"/>
          <w:numId w:val="2"/>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其他违反国家法律法规、行业规定的情形。</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4.3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eastAsia"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39" w:name="_Toc3502"/>
      <w:bookmarkStart w:id="40" w:name="_Toc9070"/>
      <w:bookmarkStart w:id="41" w:name="_Toc31362"/>
      <w:bookmarkStart w:id="42" w:name="_Toc32057"/>
      <w:bookmarkStart w:id="43" w:name="_Toc24788"/>
      <w:r>
        <w:rPr>
          <w:rFonts w:hint="eastAsia" w:ascii="宋体" w:hAnsi="宋体"/>
          <w:color w:val="auto"/>
          <w:highlight w:val="none"/>
          <w:lang w:val="en-US" w:eastAsia="zh-CN"/>
        </w:rPr>
        <w:t xml:space="preserve">5 </w:t>
      </w:r>
      <w:bookmarkEnd w:id="39"/>
      <w:bookmarkEnd w:id="40"/>
      <w:bookmarkEnd w:id="41"/>
      <w:r>
        <w:rPr>
          <w:rFonts w:hint="eastAsia" w:ascii="宋体" w:hAnsi="宋体"/>
          <w:color w:val="auto"/>
          <w:highlight w:val="none"/>
          <w:lang w:val="en-US" w:eastAsia="zh-CN"/>
        </w:rPr>
        <w:t>审核方案策划</w:t>
      </w:r>
      <w:bookmarkEnd w:id="42"/>
      <w:bookmarkEnd w:id="43"/>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，且两次监督审核的时间间隔不得超过1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 xml:space="preserve">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spacing w:line="360" w:lineRule="auto"/>
        <w:rPr>
          <w:rFonts w:hint="eastAsia" w:ascii="宋体" w:hAnsi="宋体" w:cs="Times New Roman"/>
          <w:color w:val="000000"/>
          <w:sz w:val="24"/>
          <w:szCs w:val="24"/>
          <w:highlight w:val="none"/>
          <w:lang w:val="en-US" w:eastAsia="zh-CN"/>
        </w:rPr>
      </w:pPr>
    </w:p>
    <w:p>
      <w:pPr>
        <w:pStyle w:val="2"/>
        <w:spacing w:line="360" w:lineRule="auto"/>
        <w:rPr>
          <w:rFonts w:hint="eastAsia" w:ascii="宋体" w:hAnsi="宋体"/>
          <w:highlight w:val="none"/>
        </w:rPr>
      </w:pPr>
      <w:bookmarkStart w:id="44" w:name="_Toc28981"/>
      <w:bookmarkStart w:id="45" w:name="_Toc185325626"/>
      <w:r>
        <w:rPr>
          <w:rFonts w:hint="eastAsia" w:ascii="宋体" w:hAnsi="宋体"/>
          <w:highlight w:val="none"/>
          <w:lang w:val="en-US" w:eastAsia="zh-CN"/>
        </w:rPr>
        <w:t>6</w:t>
      </w:r>
      <w:r>
        <w:rPr>
          <w:rFonts w:hint="eastAsia" w:ascii="宋体" w:hAnsi="宋体"/>
          <w:highlight w:val="none"/>
        </w:rPr>
        <w:t xml:space="preserve"> 审核实施</w:t>
      </w:r>
      <w:bookmarkEnd w:id="44"/>
      <w:bookmarkEnd w:id="45"/>
    </w:p>
    <w:p>
      <w:pPr>
        <w:bidi w:val="0"/>
        <w:rPr>
          <w:rFonts w:hint="eastAsia"/>
          <w:highlight w:val="none"/>
        </w:rPr>
      </w:pPr>
      <w:bookmarkStart w:id="46" w:name="_Toc444776332"/>
      <w:bookmarkStart w:id="47" w:name="_Toc185325627"/>
      <w:r>
        <w:rPr>
          <w:rFonts w:hint="eastAsia"/>
          <w:highlight w:val="none"/>
          <w:lang w:val="en-US" w:eastAsia="zh-CN"/>
        </w:rPr>
        <w:t>6</w:t>
      </w:r>
      <w:r>
        <w:rPr>
          <w:rFonts w:hint="eastAsia"/>
          <w:highlight w:val="none"/>
        </w:rPr>
        <w:t>.1 审核准则</w:t>
      </w:r>
      <w:bookmarkEnd w:id="46"/>
      <w:bookmarkEnd w:id="47"/>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认证双方确认的审核依据标准如下：</w:t>
      </w:r>
    </w:p>
    <w:p>
      <w:pPr>
        <w:numPr>
          <w:ilvl w:val="0"/>
          <w:numId w:val="3"/>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GB/T 29490</w:t>
      </w:r>
      <w:r>
        <w:rPr>
          <w:rFonts w:hint="eastAsia" w:ascii="宋体" w:hAnsi="宋体" w:cs="宋体"/>
          <w:color w:val="000000"/>
          <w:sz w:val="24"/>
          <w:highlight w:val="none"/>
          <w:lang w:val="en-US" w:eastAsia="zh-CN"/>
        </w:rPr>
        <w:t>-2023</w:t>
      </w:r>
      <w:r>
        <w:rPr>
          <w:rFonts w:hint="eastAsia" w:ascii="宋体" w:hAnsi="宋体" w:eastAsia="宋体" w:cs="宋体"/>
          <w:color w:val="000000"/>
          <w:sz w:val="24"/>
          <w:highlight w:val="none"/>
        </w:rPr>
        <w:t>《企业知识产权</w:t>
      </w:r>
      <w:r>
        <w:rPr>
          <w:rFonts w:hint="eastAsia" w:ascii="宋体" w:hAnsi="宋体" w:cs="宋体"/>
          <w:color w:val="000000"/>
          <w:sz w:val="24"/>
          <w:highlight w:val="none"/>
          <w:lang w:val="en-US" w:eastAsia="zh-CN"/>
        </w:rPr>
        <w:t>合规</w:t>
      </w:r>
      <w:r>
        <w:rPr>
          <w:rFonts w:hint="eastAsia" w:ascii="宋体" w:hAnsi="宋体" w:eastAsia="宋体" w:cs="宋体"/>
          <w:color w:val="000000"/>
          <w:sz w:val="24"/>
          <w:highlight w:val="none"/>
        </w:rPr>
        <w:t>管理</w:t>
      </w:r>
      <w:r>
        <w:rPr>
          <w:rFonts w:hint="eastAsia" w:ascii="宋体" w:hAnsi="宋体" w:cs="宋体"/>
          <w:color w:val="000000"/>
          <w:sz w:val="24"/>
          <w:highlight w:val="none"/>
          <w:lang w:val="en-US" w:eastAsia="zh-CN"/>
        </w:rPr>
        <w:t>体系 要求</w:t>
      </w:r>
      <w:r>
        <w:rPr>
          <w:rFonts w:hint="eastAsia" w:ascii="宋体" w:hAnsi="宋体" w:eastAsia="宋体" w:cs="宋体"/>
          <w:color w:val="000000"/>
          <w:sz w:val="24"/>
          <w:highlight w:val="none"/>
        </w:rPr>
        <w:t>》；</w:t>
      </w:r>
    </w:p>
    <w:p>
      <w:pPr>
        <w:numPr>
          <w:ilvl w:val="0"/>
          <w:numId w:val="3"/>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bCs/>
          <w:sz w:val="24"/>
          <w:highlight w:val="none"/>
        </w:rPr>
        <w:t>GB/T29490-20</w:t>
      </w:r>
      <w:r>
        <w:rPr>
          <w:rFonts w:hint="eastAsia" w:ascii="宋体" w:hAnsi="宋体"/>
          <w:bCs/>
          <w:sz w:val="24"/>
          <w:highlight w:val="none"/>
          <w:lang w:val="en-US" w:eastAsia="zh-CN"/>
        </w:rPr>
        <w:t>1</w:t>
      </w:r>
      <w:r>
        <w:rPr>
          <w:rFonts w:hint="eastAsia" w:ascii="宋体" w:hAnsi="宋体"/>
          <w:bCs/>
          <w:sz w:val="24"/>
          <w:highlight w:val="none"/>
        </w:rPr>
        <w:t>3</w:t>
      </w:r>
      <w:r>
        <w:rPr>
          <w:rFonts w:hint="eastAsia" w:ascii="宋体" w:hAnsi="宋体"/>
          <w:bCs/>
          <w:sz w:val="24"/>
          <w:highlight w:val="none"/>
          <w:lang w:eastAsia="zh-CN"/>
        </w:rPr>
        <w:t>《</w:t>
      </w:r>
      <w:r>
        <w:rPr>
          <w:rFonts w:hint="eastAsia" w:ascii="宋体" w:hAnsi="宋体"/>
          <w:bCs/>
          <w:sz w:val="24"/>
          <w:highlight w:val="none"/>
        </w:rPr>
        <w:t>企业知识产权管理规范</w:t>
      </w:r>
      <w:r>
        <w:rPr>
          <w:rFonts w:hint="eastAsia" w:ascii="宋体" w:hAnsi="宋体"/>
          <w:bCs/>
          <w:sz w:val="24"/>
          <w:highlight w:val="none"/>
          <w:lang w:eastAsia="zh-CN"/>
        </w:rPr>
        <w:t>》；</w:t>
      </w:r>
    </w:p>
    <w:p>
      <w:pPr>
        <w:numPr>
          <w:ilvl w:val="0"/>
          <w:numId w:val="3"/>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GB/T 33250</w:t>
      </w:r>
      <w:r>
        <w:rPr>
          <w:rFonts w:hint="eastAsia" w:ascii="宋体" w:hAnsi="宋体" w:cs="宋体"/>
          <w:color w:val="000000"/>
          <w:sz w:val="24"/>
          <w:highlight w:val="none"/>
          <w:lang w:val="en-US" w:eastAsia="zh-CN"/>
        </w:rPr>
        <w:t>-2016</w:t>
      </w:r>
      <w:r>
        <w:rPr>
          <w:rFonts w:hint="eastAsia" w:ascii="宋体" w:hAnsi="宋体" w:eastAsia="宋体" w:cs="宋体"/>
          <w:color w:val="000000"/>
          <w:sz w:val="24"/>
          <w:highlight w:val="none"/>
        </w:rPr>
        <w:t>《科研组织知识产权管理规范》；</w:t>
      </w:r>
    </w:p>
    <w:p>
      <w:pPr>
        <w:numPr>
          <w:ilvl w:val="0"/>
          <w:numId w:val="3"/>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GB/T 33251</w:t>
      </w:r>
      <w:r>
        <w:rPr>
          <w:rFonts w:hint="eastAsia" w:ascii="宋体" w:hAnsi="宋体" w:cs="宋体"/>
          <w:color w:val="000000"/>
          <w:sz w:val="24"/>
          <w:highlight w:val="none"/>
          <w:lang w:val="en-US" w:eastAsia="zh-CN"/>
        </w:rPr>
        <w:t>-2016</w:t>
      </w:r>
      <w:r>
        <w:rPr>
          <w:rFonts w:hint="eastAsia" w:ascii="宋体" w:hAnsi="宋体" w:eastAsia="宋体" w:cs="宋体"/>
          <w:color w:val="000000"/>
          <w:sz w:val="24"/>
          <w:highlight w:val="none"/>
        </w:rPr>
        <w:t>《高等学校知识产权管理规范》。</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审核准则还包括受审核方所适用的方针、程序、标准、法律法规、知识产权管理体系相关要求、合同要求或行业规范。</w:t>
      </w:r>
    </w:p>
    <w:p>
      <w:pPr>
        <w:keepNext w:val="0"/>
        <w:keepLines w:val="0"/>
        <w:widowControl/>
        <w:suppressLineNumbers w:val="0"/>
        <w:jc w:val="left"/>
        <w:rPr>
          <w:rFonts w:hint="eastAsia" w:ascii="宋体" w:hAnsi="宋体"/>
          <w:sz w:val="24"/>
          <w:highlight w:val="none"/>
          <w:lang w:val="en-US" w:eastAsia="zh-CN"/>
        </w:rPr>
      </w:pPr>
      <w:r>
        <w:rPr>
          <w:rFonts w:hint="eastAsia" w:ascii="宋体" w:hAnsi="宋体"/>
          <w:sz w:val="24"/>
          <w:highlight w:val="none"/>
          <w:lang w:val="en-US" w:eastAsia="zh-CN"/>
        </w:rPr>
        <w:t>注： 2026年1月1日起</w:t>
      </w:r>
      <w:r>
        <w:rPr>
          <w:rFonts w:hint="eastAsia" w:ascii="宋体" w:hAnsi="宋体"/>
          <w:bCs/>
          <w:sz w:val="24"/>
          <w:highlight w:val="none"/>
        </w:rPr>
        <w:t>GB/T29490-20</w:t>
      </w:r>
      <w:r>
        <w:rPr>
          <w:rFonts w:hint="eastAsia" w:ascii="宋体" w:hAnsi="宋体"/>
          <w:bCs/>
          <w:sz w:val="24"/>
          <w:highlight w:val="none"/>
          <w:lang w:val="en-US" w:eastAsia="zh-CN"/>
        </w:rPr>
        <w:t>1</w:t>
      </w:r>
      <w:r>
        <w:rPr>
          <w:rFonts w:hint="eastAsia" w:ascii="宋体" w:hAnsi="宋体"/>
          <w:bCs/>
          <w:sz w:val="24"/>
          <w:highlight w:val="none"/>
        </w:rPr>
        <w:t>3</w:t>
      </w:r>
      <w:r>
        <w:rPr>
          <w:rFonts w:hint="eastAsia" w:ascii="宋体" w:hAnsi="宋体"/>
          <w:sz w:val="24"/>
          <w:highlight w:val="none"/>
          <w:lang w:val="en-US" w:eastAsia="zh-CN"/>
        </w:rPr>
        <w:t>的认证证书将自动失效。自2025年1月1日起，所有认证申请应当按照</w:t>
      </w:r>
      <w:r>
        <w:rPr>
          <w:rFonts w:hint="eastAsia" w:ascii="宋体" w:hAnsi="宋体" w:eastAsia="宋体" w:cs="宋体"/>
          <w:color w:val="000000"/>
          <w:sz w:val="24"/>
          <w:highlight w:val="none"/>
        </w:rPr>
        <w:t>GB/T 29490</w:t>
      </w:r>
      <w:r>
        <w:rPr>
          <w:rFonts w:hint="eastAsia" w:ascii="宋体" w:hAnsi="宋体" w:cs="宋体"/>
          <w:color w:val="000000"/>
          <w:sz w:val="24"/>
          <w:highlight w:val="none"/>
          <w:lang w:val="en-US" w:eastAsia="zh-CN"/>
        </w:rPr>
        <w:t>-2023</w:t>
      </w:r>
      <w:r>
        <w:rPr>
          <w:rFonts w:hint="eastAsia" w:ascii="宋体" w:hAnsi="宋体"/>
          <w:sz w:val="24"/>
          <w:highlight w:val="none"/>
          <w:lang w:val="en-US" w:eastAsia="zh-CN"/>
        </w:rPr>
        <w:t>受理并实施认证。2025年12月31日后，对仍未完成换发</w:t>
      </w:r>
      <w:r>
        <w:rPr>
          <w:rFonts w:hint="eastAsia" w:ascii="宋体" w:hAnsi="宋体" w:eastAsia="宋体" w:cs="宋体"/>
          <w:color w:val="000000"/>
          <w:sz w:val="24"/>
          <w:highlight w:val="none"/>
        </w:rPr>
        <w:t>GB/T 29490</w:t>
      </w:r>
      <w:r>
        <w:rPr>
          <w:rFonts w:hint="eastAsia" w:ascii="宋体" w:hAnsi="宋体" w:cs="宋体"/>
          <w:color w:val="000000"/>
          <w:sz w:val="24"/>
          <w:highlight w:val="none"/>
          <w:lang w:val="en-US" w:eastAsia="zh-CN"/>
        </w:rPr>
        <w:t>-2023</w:t>
      </w:r>
      <w:r>
        <w:rPr>
          <w:rFonts w:hint="eastAsia" w:ascii="宋体" w:hAnsi="宋体"/>
          <w:sz w:val="24"/>
          <w:highlight w:val="none"/>
          <w:lang w:val="en-US" w:eastAsia="zh-CN"/>
        </w:rPr>
        <w:t>的认证证书，将做暂停或撤销处理。</w:t>
      </w:r>
    </w:p>
    <w:p>
      <w:pPr>
        <w:spacing w:line="360" w:lineRule="auto"/>
        <w:ind w:firstLine="480" w:firstLineChars="200"/>
        <w:jc w:val="left"/>
        <w:rPr>
          <w:rFonts w:hint="eastAsia" w:ascii="宋体" w:hAnsi="宋体" w:eastAsia="宋体"/>
          <w:sz w:val="24"/>
          <w:highlight w:val="none"/>
          <w:lang w:val="en-US" w:eastAsia="zh-CN"/>
        </w:rPr>
      </w:pPr>
    </w:p>
    <w:p>
      <w:pPr>
        <w:bidi w:val="0"/>
        <w:rPr>
          <w:rFonts w:hint="eastAsia" w:ascii="Times New Roman" w:hAnsi="Times New Roman" w:eastAsia="宋体" w:cs="Times New Roman"/>
          <w:highlight w:val="none"/>
          <w:lang w:val="en-GB" w:eastAsia="zh-CN"/>
        </w:rPr>
      </w:pPr>
      <w:bookmarkStart w:id="48" w:name="_Toc444776333"/>
      <w:bookmarkStart w:id="49" w:name="_Toc185325628"/>
      <w:r>
        <w:rPr>
          <w:rFonts w:hint="eastAsia" w:ascii="Times New Roman" w:hAnsi="Times New Roman" w:eastAsia="宋体" w:cs="Times New Roman"/>
          <w:highlight w:val="none"/>
          <w:lang w:val="en-US" w:eastAsia="zh-CN"/>
        </w:rPr>
        <w:t>6.2 审核过程</w:t>
      </w:r>
      <w:bookmarkEnd w:id="48"/>
      <w:bookmarkEnd w:id="49"/>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pStyle w:val="5"/>
        <w:spacing w:line="360" w:lineRule="auto"/>
        <w:ind w:left="900" w:hanging="480"/>
        <w:rPr>
          <w:rFonts w:hint="eastAsia" w:hAnsi="宋体"/>
          <w:sz w:val="24"/>
          <w:szCs w:val="24"/>
          <w:highlight w:val="none"/>
        </w:rPr>
      </w:pPr>
      <w:r>
        <w:rPr>
          <w:rFonts w:hint="eastAsia" w:hAnsi="宋体"/>
          <w:sz w:val="24"/>
          <w:szCs w:val="24"/>
          <w:highlight w:val="none"/>
        </w:rPr>
        <w:t>第一阶段审核应侧重于组织的策划过程，审核的主要内容为：</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确认申请组织实际情况与知识产权管理体系文件描述的一致性，特别是体系文件中描述的产品和服务、部门设置和职责与权限、生产/服务/运营过程(包括所涉及的知识产权创造、运用、保护和管理)等是否与申请组织的实际情况相一致；</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审核申请组织理解和实施相关审核准则要求的情况，评价知识产权管理体系运行过程中是否实施了内部审核与管理评审，确认知识产权管理体系是否已运行并且超过3个月；</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确认申请组织建立的知识产权管理体系覆盖的活动内容和范围、体系覆盖范围内有效人数、过程和场所，遵守适用的法律法规及强制性标准的情况；</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通过现场、企业信息公开渠道查询核实认证客户参保人数、知识产权获取、认证客户是否存在与知识产权相关的负面信息；</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结合知识产权管理体系覆盖产品和服务的特点识别对知识产权管理目标的实现具有重要影响的关键点，并结合其他因素，科学确定重要审核点；</w:t>
      </w:r>
    </w:p>
    <w:p>
      <w:pPr>
        <w:numPr>
          <w:ilvl w:val="0"/>
          <w:numId w:val="4"/>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与申请组织讨论确定第二阶段审核安排。对知识产权管理体系文件不符合实际情况、相关体系运行尚未超过3个月或者无法证明超过3个月的，以及其他不具备二阶段审核条件的，不应实施二阶段审核。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一阶段审核中识别的重要审核点的过程控制的有效性；</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受审核方管理体系文件化信息与认证准则符合情况；</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管理职责的落实，包括针对方针的管理职责；</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目标完成情况；依据关键绩效目标和指标，对绩效进行的监视、测量、报告和评审；</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机构管理/组织管理（包括经营过程中涉及知识产权创造、运用、保护和管理）的有效性；</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管理体系和绩效中与遵守法律有关的方面；</w:t>
      </w:r>
    </w:p>
    <w:p>
      <w:pPr>
        <w:numPr>
          <w:ilvl w:val="0"/>
          <w:numId w:val="5"/>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内部审核和管理评审实施情况。</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如果认证客户不能在初次认证第二阶段结束后的规定时间内（通常情况下为一个月）按要求关闭不符合，CQM将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bookmarkStart w:id="50" w:name="_Toc85105532"/>
      <w:bookmarkStart w:id="51" w:name="_Toc85103642"/>
      <w:bookmarkStart w:id="52" w:name="_Toc85256268"/>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50"/>
      <w:bookmarkEnd w:id="51"/>
      <w:bookmarkEnd w:id="52"/>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bookmarkStart w:id="53" w:name="_Toc85256266"/>
      <w:bookmarkStart w:id="54" w:name="_Toc85103640"/>
      <w:bookmarkStart w:id="55" w:name="_Toc8510553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53"/>
      <w:bookmarkEnd w:id="54"/>
      <w:bookmarkEnd w:id="55"/>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自上次审核以来与组织IPMS有关的重要变更（如认证范围、法规、组织结构、知识产权战略与计划等）；</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持续的知识产权获取、保护、运用等运行控制；</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对上次审核中发现的不符合项采取措施的有效性的验证；</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适用的法律法规持续符合情况；</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组织战略与目标实现情况与趋势；</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认证证书与标志的使用或对认证资格的引用；</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内部审核与管理评审；</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针对IPMS运行中发现的问题或投诉，制定并实施了有效的改进措施。</w:t>
      </w:r>
    </w:p>
    <w:p>
      <w:pPr>
        <w:numPr>
          <w:ilvl w:val="0"/>
          <w:numId w:val="6"/>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获证客户应保存全部投诉记录，需要时提供认证机构。</w:t>
      </w:r>
    </w:p>
    <w:p>
      <w:pPr>
        <w:pStyle w:val="9"/>
        <w:spacing w:line="360" w:lineRule="auto"/>
        <w:ind w:firstLine="480"/>
        <w:rPr>
          <w:rFonts w:hint="eastAsia"/>
          <w:sz w:val="24"/>
          <w:szCs w:val="24"/>
          <w:highlight w:val="none"/>
          <w:lang w:eastAsia="zh-CN"/>
        </w:rPr>
      </w:pPr>
      <w:r>
        <w:rPr>
          <w:rFonts w:hint="eastAsia"/>
          <w:sz w:val="24"/>
          <w:szCs w:val="24"/>
          <w:highlight w:val="none"/>
        </w:rPr>
        <w:t>CQM根据以上</w:t>
      </w:r>
      <w:bookmarkStart w:id="56" w:name="_Toc33600388"/>
      <w:bookmarkStart w:id="57" w:name="_Toc33600432"/>
      <w:bookmarkStart w:id="58" w:name="_Toc33599725"/>
      <w:bookmarkStart w:id="59" w:name="_Toc33599598"/>
      <w:r>
        <w:rPr>
          <w:rFonts w:hint="eastAsia"/>
          <w:sz w:val="24"/>
          <w:szCs w:val="24"/>
          <w:highlight w:val="none"/>
        </w:rPr>
        <w:t>信息对获证客户管理体系进行再评价，确认其是否持续满足认证要求。</w:t>
      </w:r>
    </w:p>
    <w:p>
      <w:pPr>
        <w:pStyle w:val="9"/>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bookmarkStart w:id="60" w:name="_Toc85105531"/>
      <w:bookmarkStart w:id="61" w:name="_Toc85256267"/>
      <w:bookmarkStart w:id="62" w:name="_Toc8510364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56"/>
      <w:bookmarkEnd w:id="57"/>
      <w:bookmarkEnd w:id="58"/>
      <w:bookmarkEnd w:id="59"/>
      <w:bookmarkEnd w:id="60"/>
      <w:bookmarkEnd w:id="61"/>
      <w:bookmarkEnd w:id="62"/>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个月内进行，并</w:t>
      </w:r>
      <w:r>
        <w:rPr>
          <w:rFonts w:hint="eastAsia" w:ascii="宋体" w:hAnsi="宋体" w:cs="宋体"/>
          <w:kern w:val="0"/>
          <w:sz w:val="24"/>
          <w:highlight w:val="none"/>
        </w:rPr>
        <w:t>且两次监督审核的时间间隔不得超过</w:t>
      </w:r>
      <w:r>
        <w:rPr>
          <w:rFonts w:hint="eastAsia" w:ascii="宋体" w:hAnsi="宋体" w:cs="宋体"/>
          <w:color w:val="auto"/>
          <w:kern w:val="0"/>
          <w:sz w:val="24"/>
          <w:highlight w:val="none"/>
        </w:rPr>
        <w:t>12</w:t>
      </w:r>
      <w:r>
        <w:rPr>
          <w:rFonts w:hint="eastAsia" w:ascii="宋体" w:hAnsi="宋体" w:cs="宋体"/>
          <w:kern w:val="0"/>
          <w:sz w:val="24"/>
          <w:highlight w:val="none"/>
        </w:rPr>
        <w:t>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7"/>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获证客户对管理体系进行了重大更改；</w:t>
      </w:r>
    </w:p>
    <w:p>
      <w:pPr>
        <w:numPr>
          <w:ilvl w:val="0"/>
          <w:numId w:val="7"/>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有足够信息表明获证客户发生了组织机构、</w:t>
      </w:r>
      <w:r>
        <w:rPr>
          <w:rFonts w:hint="eastAsia" w:ascii="宋体" w:hAnsi="宋体" w:eastAsia="宋体" w:cs="宋体"/>
          <w:color w:val="000000"/>
          <w:sz w:val="24"/>
          <w:highlight w:val="none"/>
          <w:lang w:eastAsia="zh-CN"/>
        </w:rPr>
        <w:t>知识产权</w:t>
      </w:r>
      <w:r>
        <w:rPr>
          <w:rFonts w:hint="eastAsia" w:ascii="宋体" w:hAnsi="宋体" w:eastAsia="宋体" w:cs="宋体"/>
          <w:color w:val="000000"/>
          <w:sz w:val="24"/>
          <w:highlight w:val="none"/>
        </w:rPr>
        <w:t>变更</w:t>
      </w:r>
      <w:r>
        <w:rPr>
          <w:rFonts w:hint="eastAsia" w:ascii="宋体" w:hAnsi="宋体" w:eastAsia="宋体" w:cs="宋体"/>
          <w:color w:val="000000"/>
          <w:sz w:val="24"/>
          <w:highlight w:val="none"/>
          <w:lang w:eastAsia="zh-CN"/>
        </w:rPr>
        <w:t>（如专利、商标、著作权）</w:t>
      </w:r>
      <w:r>
        <w:rPr>
          <w:rFonts w:hint="eastAsia" w:ascii="宋体" w:hAnsi="宋体" w:eastAsia="宋体" w:cs="宋体"/>
          <w:color w:val="000000"/>
          <w:sz w:val="24"/>
          <w:highlight w:val="none"/>
        </w:rPr>
        <w:t>等影响到其认证基础的更改；</w:t>
      </w:r>
    </w:p>
    <w:p>
      <w:pPr>
        <w:numPr>
          <w:ilvl w:val="0"/>
          <w:numId w:val="7"/>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获证客户出现知识产权</w:t>
      </w:r>
      <w:r>
        <w:rPr>
          <w:rFonts w:hint="eastAsia" w:ascii="宋体" w:hAnsi="宋体" w:eastAsia="宋体" w:cs="宋体"/>
          <w:color w:val="000000"/>
          <w:sz w:val="24"/>
          <w:highlight w:val="none"/>
          <w:lang w:eastAsia="zh-CN"/>
        </w:rPr>
        <w:t>重大</w:t>
      </w:r>
      <w:r>
        <w:rPr>
          <w:rFonts w:hint="eastAsia" w:ascii="宋体" w:hAnsi="宋体" w:eastAsia="宋体" w:cs="宋体"/>
          <w:color w:val="000000"/>
          <w:sz w:val="24"/>
          <w:highlight w:val="none"/>
        </w:rPr>
        <w:t>事故或用户提出对相关管理体系运行效果的投诉未得到处理时；</w:t>
      </w:r>
    </w:p>
    <w:p>
      <w:pPr>
        <w:numPr>
          <w:ilvl w:val="0"/>
          <w:numId w:val="7"/>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GB"/>
        </w:rPr>
        <w:t>获证</w:t>
      </w:r>
      <w:r>
        <w:rPr>
          <w:rFonts w:hint="eastAsia" w:ascii="宋体" w:hAnsi="宋体" w:eastAsia="宋体" w:cs="宋体"/>
          <w:color w:val="000000"/>
          <w:sz w:val="24"/>
          <w:highlight w:val="none"/>
          <w:lang w:val="en-GB" w:eastAsia="zh-CN"/>
        </w:rPr>
        <w:t>客户被</w:t>
      </w:r>
      <w:r>
        <w:rPr>
          <w:rFonts w:hint="eastAsia" w:ascii="宋体" w:hAnsi="宋体" w:eastAsia="宋体" w:cs="宋体"/>
          <w:color w:val="000000"/>
          <w:sz w:val="24"/>
          <w:highlight w:val="none"/>
          <w:lang w:val="en-GB"/>
        </w:rPr>
        <w:t>国家</w:t>
      </w:r>
      <w:r>
        <w:rPr>
          <w:rFonts w:hint="eastAsia" w:ascii="宋体" w:hAnsi="宋体" w:eastAsia="宋体" w:cs="宋体"/>
          <w:color w:val="000000"/>
          <w:sz w:val="24"/>
          <w:highlight w:val="none"/>
          <w:lang w:val="en-GB" w:eastAsia="zh-CN"/>
        </w:rPr>
        <w:t>行政主管部门在监督</w:t>
      </w:r>
      <w:r>
        <w:rPr>
          <w:rFonts w:hint="eastAsia" w:ascii="宋体" w:hAnsi="宋体" w:eastAsia="宋体" w:cs="宋体"/>
          <w:color w:val="000000"/>
          <w:sz w:val="24"/>
          <w:highlight w:val="none"/>
          <w:lang w:val="en-GB"/>
        </w:rPr>
        <w:t>抽查中被查出不合格时</w:t>
      </w:r>
      <w:r>
        <w:rPr>
          <w:rFonts w:hint="eastAsia" w:ascii="宋体" w:hAnsi="宋体" w:eastAsia="宋体" w:cs="宋体"/>
          <w:color w:val="000000"/>
          <w:sz w:val="24"/>
          <w:highlight w:val="none"/>
          <w:lang w:eastAsia="zh-CN"/>
        </w:rPr>
        <w:t>；</w:t>
      </w:r>
    </w:p>
    <w:p>
      <w:pPr>
        <w:numPr>
          <w:ilvl w:val="0"/>
          <w:numId w:val="7"/>
        </w:numPr>
        <w:spacing w:line="360" w:lineRule="auto"/>
        <w:ind w:left="840" w:leftChars="0" w:hanging="40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其他需要考虑的情况。</w:t>
      </w:r>
      <w:bookmarkStart w:id="63" w:name="_Toc33600389"/>
      <w:bookmarkStart w:id="64" w:name="_Toc33600433"/>
      <w:bookmarkStart w:id="65" w:name="_Toc33599599"/>
      <w:bookmarkStart w:id="66" w:name="_Toc33599726"/>
    </w:p>
    <w:bookmarkEnd w:id="63"/>
    <w:bookmarkEnd w:id="64"/>
    <w:bookmarkEnd w:id="65"/>
    <w:bookmarkEnd w:id="66"/>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9"/>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5.2.1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9"/>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在对获证客户的日常监督中，发现获证客户的出现影响管理体系运作的重大变更时，或对获证客户的投诉分析和其他信息表明获证客户管理体系</w:t>
      </w:r>
      <w:r>
        <w:rPr>
          <w:rFonts w:hint="eastAsia"/>
          <w:color w:val="auto"/>
          <w:sz w:val="24"/>
          <w:szCs w:val="24"/>
          <w:highlight w:val="none"/>
          <w:lang w:eastAsia="zh-CN"/>
        </w:rPr>
        <w:t>可能存在较大问题</w:t>
      </w:r>
      <w:r>
        <w:rPr>
          <w:rFonts w:hint="eastAsia"/>
          <w:color w:val="auto"/>
          <w:sz w:val="24"/>
          <w:szCs w:val="24"/>
          <w:highlight w:val="none"/>
        </w:rPr>
        <w:t>时，将安排特殊审核或与获证客户商定提前安排再认证审核。</w:t>
      </w:r>
    </w:p>
    <w:p>
      <w:pPr>
        <w:spacing w:line="360" w:lineRule="auto"/>
        <w:ind w:firstLine="480" w:firstLineChars="200"/>
        <w:rPr>
          <w:rFonts w:hint="eastAsia"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应至少进行一次第二阶段才能恢复认证。</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9"/>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bidi w:val="0"/>
        <w:spacing w:line="360" w:lineRule="auto"/>
        <w:jc w:val="left"/>
        <w:rPr>
          <w:rFonts w:hint="eastAsia" w:ascii="宋体" w:hAnsi="宋体" w:eastAsia="宋体" w:cs="Times New Roman"/>
          <w:bCs/>
          <w:sz w:val="24"/>
          <w:highlight w:val="none"/>
          <w:lang w:val="en-US" w:eastAsia="zh-CN"/>
        </w:rPr>
      </w:pPr>
      <w:bookmarkStart w:id="67" w:name="_Toc444776334"/>
      <w:bookmarkStart w:id="68" w:name="_Toc185325629"/>
      <w:r>
        <w:rPr>
          <w:rFonts w:hint="eastAsia" w:ascii="宋体" w:hAnsi="宋体" w:eastAsia="宋体" w:cs="Times New Roman"/>
          <w:bCs/>
          <w:sz w:val="24"/>
          <w:highlight w:val="none"/>
          <w:lang w:val="en-US" w:eastAsia="zh-CN"/>
        </w:rPr>
        <w:t>6.3 现场审核活动实施</w:t>
      </w:r>
      <w:bookmarkEnd w:id="67"/>
      <w:bookmarkEnd w:id="68"/>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w:t>
      </w:r>
      <w:bookmarkStart w:id="208" w:name="_GoBack"/>
      <w:bookmarkEnd w:id="208"/>
      <w:r>
        <w:rPr>
          <w:rFonts w:hint="eastAsia" w:ascii="宋体" w:hAnsi="宋体"/>
          <w:sz w:val="24"/>
          <w:highlight w:val="none"/>
        </w:rPr>
        <w:t>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69" w:name="_Toc20514"/>
      <w:bookmarkStart w:id="70"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69"/>
      <w:bookmarkEnd w:id="70"/>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1" w:name="_Toc11809"/>
      <w:bookmarkStart w:id="72"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1"/>
      <w:bookmarkEnd w:id="72"/>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73" w:name="_Toc25346"/>
      <w:bookmarkStart w:id="74"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73"/>
      <w:bookmarkEnd w:id="74"/>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360" w:lineRule="auto"/>
        <w:rPr>
          <w:color w:val="000000"/>
          <w:highlight w:val="none"/>
        </w:rPr>
      </w:pPr>
      <w:bookmarkStart w:id="75" w:name="_Toc85103626"/>
      <w:bookmarkStart w:id="76" w:name="_Toc85105515"/>
      <w:bookmarkStart w:id="77" w:name="_Toc85256251"/>
      <w:bookmarkStart w:id="78" w:name="_Toc23094"/>
      <w:bookmarkStart w:id="79" w:name="_Toc185325630"/>
      <w:bookmarkStart w:id="80" w:name="_Toc33599706"/>
      <w:bookmarkStart w:id="81" w:name="_Toc33598964"/>
      <w:bookmarkStart w:id="82" w:name="_Toc33600413"/>
      <w:bookmarkStart w:id="83" w:name="_Toc33600364"/>
      <w:bookmarkStart w:id="84" w:name="_Toc33598533"/>
      <w:bookmarkStart w:id="85" w:name="_Toc33598904"/>
      <w:bookmarkStart w:id="86" w:name="_Toc33599579"/>
      <w:r>
        <w:rPr>
          <w:rFonts w:hint="eastAsia"/>
          <w:highlight w:val="none"/>
          <w:lang w:val="en-US" w:eastAsia="zh-CN"/>
        </w:rPr>
        <w:t>10</w:t>
      </w:r>
      <w:r>
        <w:rPr>
          <w:rFonts w:hint="eastAsia"/>
          <w:highlight w:val="none"/>
        </w:rPr>
        <w:t xml:space="preserve"> 认证的批</w:t>
      </w:r>
      <w:r>
        <w:rPr>
          <w:rFonts w:hint="eastAsia"/>
          <w:color w:val="000000"/>
          <w:highlight w:val="none"/>
        </w:rPr>
        <w:t>准、</w:t>
      </w:r>
      <w:r>
        <w:rPr>
          <w:rFonts w:hint="eastAsia"/>
          <w:color w:val="000000"/>
          <w:highlight w:val="none"/>
          <w:lang w:eastAsia="zh-CN"/>
        </w:rPr>
        <w:t>拒绝、</w:t>
      </w:r>
      <w:r>
        <w:rPr>
          <w:rFonts w:hint="eastAsia"/>
          <w:color w:val="000000"/>
          <w:highlight w:val="none"/>
        </w:rPr>
        <w:t>保持、扩大、缩小、暂停、恢复和撤销的条件</w:t>
      </w:r>
      <w:bookmarkEnd w:id="75"/>
      <w:bookmarkEnd w:id="76"/>
      <w:bookmarkEnd w:id="77"/>
      <w:r>
        <w:rPr>
          <w:rFonts w:hint="eastAsia"/>
          <w:color w:val="000000"/>
          <w:highlight w:val="none"/>
        </w:rPr>
        <w:t>和程序</w:t>
      </w:r>
      <w:bookmarkEnd w:id="78"/>
      <w:bookmarkEnd w:id="79"/>
    </w:p>
    <w:p>
      <w:pPr>
        <w:bidi w:val="0"/>
        <w:rPr>
          <w:rFonts w:hint="eastAsia" w:ascii="Times New Roman" w:hAnsi="Times New Roman" w:eastAsia="宋体" w:cs="Times New Roman"/>
          <w:b/>
          <w:bCs/>
          <w:highlight w:val="none"/>
          <w:lang w:val="en-US" w:eastAsia="zh-CN"/>
        </w:rPr>
      </w:pPr>
      <w:bookmarkStart w:id="87" w:name="_Toc85103627"/>
      <w:bookmarkStart w:id="88" w:name="_Toc185325631"/>
      <w:bookmarkStart w:id="89" w:name="_Toc85105516"/>
      <w:bookmarkStart w:id="90" w:name="_Toc85256252"/>
      <w:bookmarkStart w:id="91" w:name="_Toc444776336"/>
      <w:r>
        <w:rPr>
          <w:rFonts w:hint="eastAsia" w:ascii="Times New Roman" w:hAnsi="Times New Roman" w:eastAsia="宋体" w:cs="Times New Roman"/>
          <w:b/>
          <w:bCs/>
          <w:highlight w:val="none"/>
          <w:lang w:val="en-US" w:eastAsia="zh-CN"/>
        </w:rPr>
        <w:t xml:space="preserve">10.1 </w:t>
      </w:r>
      <w:bookmarkEnd w:id="87"/>
      <w:bookmarkEnd w:id="88"/>
      <w:bookmarkEnd w:id="89"/>
      <w:bookmarkEnd w:id="90"/>
      <w:r>
        <w:rPr>
          <w:rFonts w:hint="eastAsia" w:ascii="Times New Roman" w:hAnsi="Times New Roman" w:eastAsia="宋体" w:cs="Times New Roman"/>
          <w:b/>
          <w:bCs/>
          <w:highlight w:val="none"/>
          <w:lang w:val="en-US" w:eastAsia="zh-CN"/>
        </w:rPr>
        <w:t>批准认证范围的条件和程序</w:t>
      </w:r>
      <w:bookmarkEnd w:id="91"/>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认证客户建立和实施的IPMS符合认证标准/规范性文件要求，审核组提出推荐认证的结论意见；</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认证范围覆盖的知识产权活动符合相关法律法规的要求；</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认证客户的知识产权管理过程不存在严重缺失；</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审核证据表明管理评审和内部审核的安排已实施、有效且得到保持，并已进行了一次覆盖知识产权管理体系所有要求的完整内部审核；</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8"/>
        </w:numPr>
        <w:adjustRightIn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至少近一年来，认证客户申请认证范围内未发生知识产权重大事故或国家检查不合格；</w:t>
      </w:r>
    </w:p>
    <w:p>
      <w:pPr>
        <w:numPr>
          <w:ilvl w:val="0"/>
          <w:numId w:val="8"/>
        </w:numPr>
        <w:adjustRightInd w:val="0"/>
        <w:spacing w:line="360" w:lineRule="auto"/>
        <w:rPr>
          <w:rFonts w:hint="eastAsia" w:ascii="宋体" w:hAnsi="宋体"/>
          <w:sz w:val="24"/>
          <w:highlight w:val="none"/>
        </w:rPr>
      </w:pPr>
      <w:r>
        <w:rPr>
          <w:rFonts w:hint="eastAsia" w:ascii="宋体" w:hAnsi="宋体"/>
          <w:sz w:val="24"/>
          <w:highlight w:val="none"/>
        </w:rPr>
        <w:t>认证客户已与</w:t>
      </w:r>
      <w:r>
        <w:rPr>
          <w:rFonts w:hint="eastAsia" w:ascii="宋体" w:hAnsi="宋体"/>
          <w:sz w:val="24"/>
          <w:highlight w:val="none"/>
          <w:lang w:val="en-US" w:eastAsia="zh-CN"/>
        </w:rPr>
        <w:t>CQM</w:t>
      </w:r>
      <w:r>
        <w:rPr>
          <w:rFonts w:hint="eastAsia" w:ascii="宋体" w:hAnsi="宋体"/>
          <w:sz w:val="24"/>
          <w:highlight w:val="none"/>
        </w:rPr>
        <w:t>签署认证合同，承诺始终遵守认证的有关规定，履行了相关义务，并按照认证合同规定缴纳认证费用；</w:t>
      </w:r>
    </w:p>
    <w:p>
      <w:pPr>
        <w:numPr>
          <w:ilvl w:val="0"/>
          <w:numId w:val="8"/>
        </w:numPr>
        <w:adjustRightInd w:val="0"/>
        <w:spacing w:line="360" w:lineRule="auto"/>
        <w:rPr>
          <w:rFonts w:hint="eastAsia" w:ascii="宋体" w:hAnsi="宋体"/>
          <w:sz w:val="24"/>
          <w:highlight w:val="none"/>
        </w:rPr>
      </w:pPr>
      <w:r>
        <w:rPr>
          <w:rFonts w:hint="eastAsia" w:ascii="宋体" w:hAnsi="宋体"/>
          <w:sz w:val="24"/>
          <w:highlight w:val="none"/>
        </w:rPr>
        <w:t>不存在</w:t>
      </w:r>
      <w:r>
        <w:rPr>
          <w:rFonts w:hint="eastAsia" w:ascii="宋体" w:hAnsi="宋体"/>
          <w:bCs/>
          <w:sz w:val="24"/>
          <w:highlight w:val="none"/>
          <w:lang w:val="en-US" w:eastAsia="zh-CN"/>
        </w:rPr>
        <w:t>10</w:t>
      </w:r>
      <w:r>
        <w:rPr>
          <w:rFonts w:hint="eastAsia" w:ascii="宋体" w:hAnsi="宋体"/>
          <w:bCs/>
          <w:sz w:val="24"/>
          <w:highlight w:val="none"/>
        </w:rPr>
        <w:t>.2.1 的情形</w:t>
      </w:r>
      <w:r>
        <w:rPr>
          <w:rFonts w:hint="eastAsia" w:ascii="宋体" w:hAnsi="宋体"/>
          <w:sz w:val="24"/>
          <w:highlight w:val="none"/>
        </w:rPr>
        <w:t>。</w:t>
      </w:r>
    </w:p>
    <w:p>
      <w:pPr>
        <w:spacing w:line="360" w:lineRule="auto"/>
        <w:rPr>
          <w:rFonts w:hint="eastAsia" w:ascii="宋体" w:hAnsi="宋体"/>
          <w:bCs/>
          <w:sz w:val="24"/>
          <w:highlight w:val="none"/>
        </w:rPr>
      </w:pPr>
      <w:bookmarkStart w:id="92" w:name="_Toc85103628"/>
      <w:bookmarkStart w:id="93" w:name="_Toc85256253"/>
      <w:bookmarkStart w:id="94" w:name="_Toc85105517"/>
      <w:r>
        <w:rPr>
          <w:rFonts w:hint="eastAsia" w:ascii="宋体" w:hAnsi="宋体"/>
          <w:sz w:val="24"/>
          <w:highlight w:val="none"/>
          <w:lang w:val="en-US" w:eastAsia="zh-CN"/>
        </w:rPr>
        <w:t>10</w:t>
      </w:r>
      <w:r>
        <w:rPr>
          <w:rFonts w:hint="eastAsia" w:ascii="宋体" w:hAnsi="宋体"/>
          <w:bCs/>
          <w:sz w:val="24"/>
          <w:highlight w:val="none"/>
        </w:rPr>
        <w:t>.1.2 批准认证</w:t>
      </w:r>
      <w:bookmarkEnd w:id="92"/>
      <w:bookmarkEnd w:id="93"/>
      <w:bookmarkEnd w:id="94"/>
      <w:r>
        <w:rPr>
          <w:rFonts w:hint="eastAsia" w:ascii="宋体" w:hAnsi="宋体"/>
          <w:bCs/>
          <w:sz w:val="24"/>
          <w:highlight w:val="none"/>
        </w:rPr>
        <w:t>资格的程序</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9"/>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bidi w:val="0"/>
        <w:rPr>
          <w:rFonts w:hint="eastAsia" w:ascii="Times New Roman" w:hAnsi="Times New Roman" w:eastAsia="宋体" w:cs="Times New Roman"/>
          <w:b/>
          <w:bCs/>
          <w:highlight w:val="none"/>
          <w:lang w:val="en-US" w:eastAsia="zh-CN"/>
        </w:rPr>
      </w:pPr>
      <w:bookmarkStart w:id="95" w:name="_Toc444776337"/>
      <w:r>
        <w:rPr>
          <w:rFonts w:hint="eastAsia" w:ascii="Times New Roman" w:hAnsi="Times New Roman" w:eastAsia="宋体" w:cs="Times New Roman"/>
          <w:b/>
          <w:bCs/>
          <w:highlight w:val="none"/>
          <w:lang w:val="en-US" w:eastAsia="zh-CN"/>
        </w:rPr>
        <w:t>10.2 拒绝认证注册的条件和程序</w:t>
      </w:r>
      <w:bookmarkEnd w:id="95"/>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.2.1 拒绝认证资格的条件</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经现场审核核实，受审核方申请认证的产品/服务范围超出其经营许可范围，或涉及的生产许可文件、强制认证文件不齐全的（或缩减认证该范围）；</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受审核方的知识产权管理体系有重大缺陷，不符合《知识产权认证管理办法》附件中所述知识产权管理体系认证标准的要求；</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受审核方提供审核的材料明显涉嫌伪造，且员工对知识产权管理体系不了解的；</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发现受审核方存在重大知识产权管理问题或存在与知识产权管理相关的严重违法违规行为；</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受审核方未开展内部审核及管理评审活动；</w:t>
      </w:r>
    </w:p>
    <w:p>
      <w:pPr>
        <w:numPr>
          <w:ilvl w:val="0"/>
          <w:numId w:val="10"/>
        </w:numPr>
        <w:tabs>
          <w:tab w:val="left" w:pos="720"/>
          <w:tab w:val="left" w:pos="900"/>
          <w:tab w:val="clear" w:pos="1050"/>
        </w:tabs>
        <w:spacing w:line="360" w:lineRule="auto"/>
        <w:ind w:left="720" w:hanging="360"/>
        <w:rPr>
          <w:rFonts w:hint="eastAsia" w:ascii="宋体" w:hAnsi="宋体"/>
          <w:sz w:val="24"/>
          <w:highlight w:val="none"/>
        </w:rPr>
      </w:pPr>
      <w:r>
        <w:rPr>
          <w:rFonts w:hint="eastAsia" w:ascii="宋体" w:hAnsi="宋体"/>
          <w:sz w:val="24"/>
          <w:highlight w:val="none"/>
        </w:rPr>
        <w:t>受审核方无任何知识产权</w:t>
      </w:r>
      <w:r>
        <w:rPr>
          <w:rFonts w:hint="eastAsia" w:ascii="宋体" w:hAnsi="宋体"/>
          <w:sz w:val="24"/>
          <w:highlight w:val="none"/>
          <w:lang w:val="en-US" w:eastAsia="zh-CN"/>
        </w:rPr>
        <w:t>相关活动</w:t>
      </w:r>
      <w:r>
        <w:rPr>
          <w:rFonts w:hint="eastAsia" w:ascii="宋体" w:hAnsi="宋体"/>
          <w:sz w:val="24"/>
          <w:highlight w:val="none"/>
        </w:rPr>
        <w:t>，</w:t>
      </w:r>
      <w:r>
        <w:rPr>
          <w:rFonts w:hint="eastAsia" w:ascii="宋体" w:hAnsi="宋体"/>
          <w:sz w:val="24"/>
          <w:highlight w:val="none"/>
          <w:lang w:val="en-US" w:eastAsia="zh-CN"/>
        </w:rPr>
        <w:t>无实际创新活动，且近一年内无任何纳税或社保缴纳记录</w:t>
      </w:r>
      <w:r>
        <w:rPr>
          <w:rFonts w:hint="eastAsia" w:ascii="宋体" w:hAnsi="宋体"/>
          <w:sz w:val="24"/>
          <w:highlight w:val="none"/>
        </w:rPr>
        <w:t>；</w:t>
      </w:r>
    </w:p>
    <w:p>
      <w:pPr>
        <w:numPr>
          <w:ilvl w:val="0"/>
          <w:numId w:val="10"/>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认证客户存在重大问题及与认证范围内相关严重违法违规行为，经CQM的审定结论为不予认证注册；</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10"/>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10"/>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sz w:val="24"/>
          <w:highlight w:val="none"/>
          <w:lang w:val="en-US" w:eastAsia="zh-CN"/>
        </w:rPr>
        <w:t>10</w:t>
      </w:r>
      <w:r>
        <w:rPr>
          <w:rFonts w:hint="eastAsia" w:ascii="宋体" w:hAnsi="宋体"/>
          <w:bCs/>
          <w:sz w:val="24"/>
          <w:highlight w:val="none"/>
        </w:rPr>
        <w:t>.2.2 拒绝认证注册的程序</w:t>
      </w:r>
    </w:p>
    <w:p>
      <w:pPr>
        <w:pStyle w:val="11"/>
        <w:numPr>
          <w:ilvl w:val="1"/>
          <w:numId w:val="9"/>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11"/>
        <w:numPr>
          <w:ilvl w:val="1"/>
          <w:numId w:val="9"/>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bidi w:val="0"/>
        <w:rPr>
          <w:rFonts w:hint="eastAsia" w:ascii="Times New Roman" w:hAnsi="Times New Roman" w:eastAsia="宋体" w:cs="Times New Roman"/>
          <w:b/>
          <w:bCs/>
          <w:highlight w:val="none"/>
          <w:lang w:val="en-US" w:eastAsia="zh-CN"/>
        </w:rPr>
      </w:pPr>
      <w:bookmarkStart w:id="96" w:name="_Toc85256254"/>
      <w:bookmarkStart w:id="97" w:name="_Toc85103629"/>
      <w:bookmarkStart w:id="98" w:name="_Toc85105518"/>
      <w:bookmarkStart w:id="99" w:name="_Toc444776338"/>
      <w:bookmarkStart w:id="100" w:name="_Toc185325632"/>
      <w:r>
        <w:rPr>
          <w:rFonts w:hint="eastAsia" w:ascii="Times New Roman" w:hAnsi="Times New Roman" w:eastAsia="宋体" w:cs="Times New Roman"/>
          <w:b/>
          <w:bCs/>
          <w:highlight w:val="none"/>
          <w:lang w:val="en-US" w:eastAsia="zh-CN"/>
        </w:rPr>
        <w:t>10.3 保持认证资格的条件</w:t>
      </w:r>
      <w:bookmarkEnd w:id="96"/>
      <w:bookmarkEnd w:id="97"/>
      <w:bookmarkEnd w:id="98"/>
      <w:r>
        <w:rPr>
          <w:rFonts w:hint="eastAsia" w:ascii="Times New Roman" w:hAnsi="Times New Roman" w:eastAsia="宋体" w:cs="Times New Roman"/>
          <w:b/>
          <w:bCs/>
          <w:highlight w:val="none"/>
          <w:lang w:val="en-US" w:eastAsia="zh-CN"/>
        </w:rPr>
        <w:t>和程序</w:t>
      </w:r>
      <w:bookmarkEnd w:id="99"/>
      <w:bookmarkEnd w:id="100"/>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.3.1 保持认证资格的条件</w:t>
      </w:r>
    </w:p>
    <w:p>
      <w:pPr>
        <w:numPr>
          <w:ilvl w:val="0"/>
          <w:numId w:val="11"/>
        </w:numPr>
        <w:tabs>
          <w:tab w:val="left" w:pos="720"/>
        </w:tabs>
        <w:spacing w:line="360" w:lineRule="auto"/>
        <w:ind w:left="709" w:hanging="349"/>
        <w:rPr>
          <w:rFonts w:hint="eastAsia" w:ascii="宋体" w:hAnsi="宋体"/>
          <w:sz w:val="24"/>
          <w:highlight w:val="none"/>
        </w:rPr>
      </w:pPr>
      <w:r>
        <w:rPr>
          <w:rFonts w:hint="eastAsia" w:ascii="宋体" w:hAnsi="宋体" w:eastAsia="宋体" w:cs="宋体"/>
          <w:color w:val="000000"/>
          <w:sz w:val="24"/>
          <w:highlight w:val="none"/>
        </w:rPr>
        <w:t>获证客户的法律地位、行政许可文件持续符合国家的最新要求，并且认证</w:t>
      </w:r>
      <w:r>
        <w:rPr>
          <w:rFonts w:hint="eastAsia" w:ascii="宋体" w:hAnsi="宋体"/>
          <w:sz w:val="24"/>
          <w:highlight w:val="none"/>
        </w:rPr>
        <w:t>范围在法律地位文件和行政许可文件规定的范围内；</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w:t>
      </w:r>
      <w:r>
        <w:rPr>
          <w:rFonts w:hint="eastAsia" w:ascii="宋体" w:hAnsi="宋体"/>
          <w:sz w:val="24"/>
          <w:highlight w:val="none"/>
          <w:lang w:val="en-US" w:eastAsia="zh-CN"/>
        </w:rPr>
        <w:t>过</w:t>
      </w:r>
      <w:r>
        <w:rPr>
          <w:rFonts w:hint="eastAsia" w:ascii="宋体" w:hAnsi="宋体"/>
          <w:sz w:val="24"/>
          <w:highlight w:val="none"/>
        </w:rPr>
        <w:t>程和活动持续满足适用的最新法律法规的要求，如发生不满足时及时采取有效的措施；</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获证客户于获证期内，认证范围内涉及的过程或活动未发生知识产权重大事故和国家检查不合格；</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sz w:val="24"/>
          <w:highlight w:val="none"/>
          <w:lang w:val="en-US" w:eastAsia="zh-CN"/>
        </w:rPr>
        <w:t>10</w:t>
      </w:r>
      <w:r>
        <w:rPr>
          <w:rFonts w:hint="eastAsia" w:ascii="宋体" w:hAnsi="宋体"/>
          <w:bCs/>
          <w:sz w:val="24"/>
          <w:highlight w:val="none"/>
        </w:rPr>
        <w:t>.3.2 保持认证资格的程序</w:t>
      </w:r>
    </w:p>
    <w:p>
      <w:pPr>
        <w:numPr>
          <w:ilvl w:val="0"/>
          <w:numId w:val="12"/>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2"/>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bidi w:val="0"/>
        <w:rPr>
          <w:rFonts w:hint="eastAsia" w:ascii="Times New Roman" w:hAnsi="Times New Roman" w:eastAsia="宋体" w:cs="Times New Roman"/>
          <w:b/>
          <w:bCs/>
          <w:highlight w:val="none"/>
          <w:lang w:val="en-US" w:eastAsia="zh-CN"/>
        </w:rPr>
      </w:pPr>
      <w:bookmarkStart w:id="101" w:name="_Toc85105519"/>
      <w:bookmarkStart w:id="102" w:name="_Toc85256255"/>
      <w:bookmarkStart w:id="103" w:name="_Toc85103630"/>
      <w:bookmarkStart w:id="104" w:name="_Toc444776339"/>
      <w:bookmarkStart w:id="105" w:name="_Toc185325633"/>
      <w:r>
        <w:rPr>
          <w:rFonts w:hint="eastAsia" w:ascii="Times New Roman" w:hAnsi="Times New Roman" w:eastAsia="宋体" w:cs="Times New Roman"/>
          <w:b/>
          <w:bCs/>
          <w:highlight w:val="none"/>
          <w:lang w:val="en-US" w:eastAsia="zh-CN"/>
        </w:rPr>
        <w:t>10.4 扩大认证范围的条件</w:t>
      </w:r>
      <w:bookmarkEnd w:id="101"/>
      <w:bookmarkEnd w:id="102"/>
      <w:bookmarkEnd w:id="103"/>
      <w:r>
        <w:rPr>
          <w:rFonts w:hint="eastAsia" w:ascii="Times New Roman" w:hAnsi="Times New Roman" w:eastAsia="宋体" w:cs="Times New Roman"/>
          <w:b/>
          <w:bCs/>
          <w:highlight w:val="none"/>
          <w:lang w:val="en-US" w:eastAsia="zh-CN"/>
        </w:rPr>
        <w:t>和程序</w:t>
      </w:r>
      <w:bookmarkEnd w:id="104"/>
      <w:bookmarkEnd w:id="105"/>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.4.1 扩大认证范围的分类</w:t>
      </w:r>
    </w:p>
    <w:p>
      <w:pPr>
        <w:numPr>
          <w:ilvl w:val="0"/>
          <w:numId w:val="13"/>
        </w:numPr>
        <w:spacing w:line="360" w:lineRule="auto"/>
        <w:rPr>
          <w:rFonts w:ascii="宋体" w:hAnsi="宋体"/>
          <w:sz w:val="24"/>
          <w:highlight w:val="none"/>
        </w:rPr>
      </w:pPr>
      <w:r>
        <w:rPr>
          <w:rFonts w:hint="eastAsia" w:ascii="宋体" w:hAnsi="宋体"/>
          <w:sz w:val="24"/>
          <w:highlight w:val="none"/>
        </w:rPr>
        <w:t>获证客户名称增加、固定分场所增加、区域的扩大；</w:t>
      </w:r>
    </w:p>
    <w:p>
      <w:pPr>
        <w:numPr>
          <w:ilvl w:val="0"/>
          <w:numId w:val="13"/>
        </w:numPr>
        <w:spacing w:line="360" w:lineRule="auto"/>
        <w:rPr>
          <w:rFonts w:hint="eastAsia" w:ascii="宋体" w:hAnsi="宋体"/>
          <w:sz w:val="24"/>
          <w:highlight w:val="none"/>
        </w:rPr>
      </w:pPr>
      <w:r>
        <w:rPr>
          <w:rFonts w:hint="eastAsia" w:ascii="宋体" w:hAnsi="宋体"/>
          <w:sz w:val="24"/>
          <w:highlight w:val="none"/>
        </w:rPr>
        <w:t>获证客户运营中过程或活动增加。</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.4.2 扩大认证范围的条件</w:t>
      </w:r>
    </w:p>
    <w:p>
      <w:pPr>
        <w:numPr>
          <w:ilvl w:val="0"/>
          <w:numId w:val="14"/>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4"/>
        </w:numPr>
        <w:spacing w:line="360" w:lineRule="auto"/>
        <w:rPr>
          <w:rFonts w:hint="eastAsia"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4"/>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.4.3 扩大认证范围的程序</w:t>
      </w:r>
    </w:p>
    <w:p>
      <w:pPr>
        <w:numPr>
          <w:ilvl w:val="0"/>
          <w:numId w:val="15"/>
        </w:numPr>
        <w:spacing w:line="360" w:lineRule="auto"/>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5"/>
        </w:numPr>
        <w:spacing w:line="360" w:lineRule="auto"/>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5"/>
        </w:numPr>
        <w:spacing w:line="360" w:lineRule="auto"/>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5"/>
        </w:numPr>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5"/>
        </w:numPr>
        <w:spacing w:line="360" w:lineRule="auto"/>
        <w:rPr>
          <w:rFonts w:hint="eastAsia" w:ascii="宋体" w:hAnsi="宋体"/>
          <w:sz w:val="24"/>
          <w:highlight w:val="none"/>
        </w:rPr>
      </w:pPr>
      <w:r>
        <w:rPr>
          <w:rFonts w:hint="eastAsia" w:ascii="宋体" w:hAnsi="宋体"/>
          <w:sz w:val="24"/>
          <w:highlight w:val="none"/>
        </w:rPr>
        <w:t>CQM向获证客户送交新认证证书，同时收回原证书。</w:t>
      </w:r>
    </w:p>
    <w:p>
      <w:pPr>
        <w:bidi w:val="0"/>
        <w:rPr>
          <w:rFonts w:hint="eastAsia" w:ascii="Times New Roman" w:hAnsi="Times New Roman" w:eastAsia="宋体" w:cs="Times New Roman"/>
          <w:b/>
          <w:bCs/>
          <w:highlight w:val="none"/>
          <w:lang w:val="en-US" w:eastAsia="zh-CN"/>
        </w:rPr>
      </w:pPr>
      <w:bookmarkStart w:id="106" w:name="_Toc85103631"/>
      <w:bookmarkStart w:id="107" w:name="_Toc85256256"/>
      <w:bookmarkStart w:id="108" w:name="_Toc85105520"/>
      <w:bookmarkStart w:id="109" w:name="_Toc185325634"/>
      <w:bookmarkStart w:id="110" w:name="_Toc444776340"/>
      <w:r>
        <w:rPr>
          <w:rFonts w:hint="eastAsia" w:ascii="Times New Roman" w:hAnsi="Times New Roman" w:eastAsia="宋体" w:cs="Times New Roman"/>
          <w:b/>
          <w:bCs/>
          <w:highlight w:val="none"/>
          <w:lang w:val="en-US" w:eastAsia="zh-CN"/>
        </w:rPr>
        <w:t>10.5 缩小认证范围的条件</w:t>
      </w:r>
      <w:bookmarkEnd w:id="106"/>
      <w:bookmarkEnd w:id="107"/>
      <w:bookmarkEnd w:id="108"/>
      <w:r>
        <w:rPr>
          <w:rFonts w:hint="eastAsia" w:ascii="Times New Roman" w:hAnsi="Times New Roman" w:eastAsia="宋体" w:cs="Times New Roman"/>
          <w:b/>
          <w:bCs/>
          <w:highlight w:val="none"/>
          <w:lang w:val="en-US" w:eastAsia="zh-CN"/>
        </w:rPr>
        <w:t>和程序</w:t>
      </w:r>
      <w:bookmarkEnd w:id="109"/>
      <w:bookmarkEnd w:id="110"/>
    </w:p>
    <w:p>
      <w:pPr>
        <w:spacing w:line="360" w:lineRule="auto"/>
        <w:rPr>
          <w:rFonts w:hint="eastAsia"/>
          <w:highlight w:val="none"/>
        </w:rPr>
      </w:pPr>
      <w:r>
        <w:rPr>
          <w:rFonts w:hint="eastAsia" w:ascii="宋体" w:hAnsi="宋体"/>
          <w:sz w:val="24"/>
          <w:highlight w:val="none"/>
          <w:lang w:val="en-US" w:eastAsia="zh-CN"/>
        </w:rPr>
        <w:t>10</w:t>
      </w:r>
      <w:r>
        <w:rPr>
          <w:rFonts w:hint="eastAsia" w:ascii="宋体" w:hAnsi="宋体"/>
          <w:bCs/>
          <w:sz w:val="24"/>
          <w:highlight w:val="none"/>
        </w:rPr>
        <w:t>.5.1 缩小认证范围的分类</w:t>
      </w:r>
    </w:p>
    <w:p>
      <w:pPr>
        <w:numPr>
          <w:ilvl w:val="0"/>
          <w:numId w:val="16"/>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获证客户固定分场所、区域的缩小；</w:t>
      </w:r>
    </w:p>
    <w:p>
      <w:pPr>
        <w:numPr>
          <w:ilvl w:val="0"/>
          <w:numId w:val="16"/>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6"/>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6"/>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sz w:val="24"/>
          <w:highlight w:val="none"/>
          <w:lang w:val="en-US" w:eastAsia="zh-CN"/>
        </w:rPr>
        <w:t>10</w:t>
      </w:r>
      <w:r>
        <w:rPr>
          <w:rFonts w:hint="eastAsia" w:ascii="宋体" w:hAnsi="宋体"/>
          <w:bCs/>
          <w:sz w:val="24"/>
          <w:highlight w:val="none"/>
        </w:rPr>
        <w:t>.5.2 缩小认证范围的条件</w:t>
      </w:r>
    </w:p>
    <w:p>
      <w:pPr>
        <w:numPr>
          <w:ilvl w:val="0"/>
          <w:numId w:val="17"/>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7"/>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7"/>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.5.3 缩小认证范围的程序</w:t>
      </w:r>
    </w:p>
    <w:p>
      <w:pPr>
        <w:numPr>
          <w:ilvl w:val="2"/>
          <w:numId w:val="9"/>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9"/>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9"/>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bidi w:val="0"/>
        <w:rPr>
          <w:rFonts w:hint="eastAsia" w:ascii="Times New Roman" w:hAnsi="Times New Roman" w:eastAsia="宋体" w:cs="Times New Roman"/>
          <w:b/>
          <w:bCs/>
          <w:highlight w:val="none"/>
          <w:lang w:val="en-US" w:eastAsia="zh-CN"/>
        </w:rPr>
      </w:pPr>
      <w:bookmarkStart w:id="111" w:name="_Toc444776341"/>
      <w:r>
        <w:rPr>
          <w:rFonts w:hint="eastAsia" w:ascii="Times New Roman" w:hAnsi="Times New Roman" w:eastAsia="宋体" w:cs="Times New Roman"/>
          <w:b/>
          <w:bCs/>
          <w:highlight w:val="none"/>
          <w:lang w:val="en-US" w:eastAsia="zh-CN"/>
        </w:rPr>
        <w:t>10.6 变更认证信息的条件和程序</w:t>
      </w:r>
      <w:bookmarkEnd w:id="111"/>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地名、邮编变更；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8"/>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9"/>
        </w:numPr>
        <w:spacing w:line="360" w:lineRule="auto"/>
        <w:ind w:left="744" w:leftChars="200" w:hanging="324" w:hangingChars="13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744" w:leftChars="200" w:hanging="324" w:hangingChars="13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9"/>
        </w:numPr>
        <w:spacing w:line="360" w:lineRule="auto"/>
        <w:ind w:left="744" w:leftChars="200" w:hanging="324" w:hangingChars="13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9"/>
        </w:numPr>
        <w:spacing w:line="360" w:lineRule="auto"/>
        <w:ind w:left="744" w:leftChars="200" w:hanging="324" w:hangingChars="13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.6.2.1.2认证地址变更需要提交的资料</w:t>
      </w:r>
    </w:p>
    <w:p>
      <w:pPr>
        <w:numPr>
          <w:ilvl w:val="0"/>
          <w:numId w:val="20"/>
        </w:numPr>
        <w:spacing w:line="360" w:lineRule="auto"/>
        <w:ind w:left="757" w:leftChars="202" w:hanging="333" w:hangingChars="139"/>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20"/>
        </w:numPr>
        <w:spacing w:line="360" w:lineRule="auto"/>
        <w:ind w:left="757" w:leftChars="202" w:hanging="333" w:hangingChars="139"/>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.6.2.1.3 地名、邮编变更需要提交的资料</w:t>
      </w:r>
    </w:p>
    <w:p>
      <w:pPr>
        <w:numPr>
          <w:ilvl w:val="0"/>
          <w:numId w:val="21"/>
        </w:numPr>
        <w:spacing w:line="360" w:lineRule="auto"/>
        <w:ind w:left="716" w:leftChars="202" w:hanging="292" w:hangingChars="122"/>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1"/>
        </w:numPr>
        <w:spacing w:line="360" w:lineRule="auto"/>
        <w:ind w:left="716" w:leftChars="202" w:hanging="292" w:hangingChars="122"/>
        <w:rPr>
          <w:rFonts w:hint="eastAsia" w:ascii="宋体" w:hAnsi="宋体"/>
          <w:sz w:val="24"/>
          <w:highlight w:val="none"/>
        </w:rPr>
      </w:pPr>
      <w:r>
        <w:rPr>
          <w:rFonts w:hint="eastAsia" w:ascii="宋体" w:hAnsi="宋体"/>
          <w:sz w:val="24"/>
          <w:highlight w:val="none"/>
        </w:rPr>
        <w:t>当地政府的相关证明；</w:t>
      </w:r>
    </w:p>
    <w:p>
      <w:pPr>
        <w:numPr>
          <w:ilvl w:val="0"/>
          <w:numId w:val="21"/>
        </w:numPr>
        <w:spacing w:line="360" w:lineRule="auto"/>
        <w:ind w:left="716" w:leftChars="202" w:hanging="292" w:hangingChars="122"/>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0"/>
          <w:numId w:val="22"/>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获证客户的书面变更申请；</w:t>
      </w:r>
    </w:p>
    <w:p>
      <w:pPr>
        <w:numPr>
          <w:ilvl w:val="0"/>
          <w:numId w:val="22"/>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.6.2.2 认证信息变更的办理流程</w:t>
      </w:r>
    </w:p>
    <w:p>
      <w:pPr>
        <w:numPr>
          <w:ilvl w:val="0"/>
          <w:numId w:val="23"/>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获证客户根据</w:t>
      </w:r>
      <w:r>
        <w:rPr>
          <w:rFonts w:hint="eastAsia" w:ascii="宋体" w:hAnsi="宋体"/>
          <w:sz w:val="24"/>
          <w:highlight w:val="none"/>
          <w:lang w:val="en-US" w:eastAsia="zh-CN"/>
        </w:rPr>
        <w:t>10</w:t>
      </w:r>
      <w:r>
        <w:rPr>
          <w:rFonts w:hint="eastAsia" w:ascii="宋体" w:hAnsi="宋体" w:eastAsia="宋体" w:cs="Times New Roman"/>
          <w:sz w:val="24"/>
          <w:highlight w:val="none"/>
        </w:rPr>
        <w:t>.6.1要求向CQM正式提交满足</w:t>
      </w:r>
      <w:r>
        <w:rPr>
          <w:rFonts w:hint="eastAsia" w:ascii="宋体" w:hAnsi="宋体"/>
          <w:sz w:val="24"/>
          <w:highlight w:val="none"/>
          <w:lang w:val="en-US" w:eastAsia="zh-CN"/>
        </w:rPr>
        <w:t>10</w:t>
      </w:r>
      <w:r>
        <w:rPr>
          <w:rFonts w:hint="eastAsia" w:ascii="宋体" w:hAnsi="宋体" w:eastAsia="宋体" w:cs="Times New Roman"/>
          <w:sz w:val="24"/>
          <w:highlight w:val="none"/>
        </w:rPr>
        <w:t>.6.2.1要求的申请和相关文件资料；</w:t>
      </w:r>
    </w:p>
    <w:p>
      <w:pPr>
        <w:numPr>
          <w:ilvl w:val="0"/>
          <w:numId w:val="23"/>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需要时，获证客户应接受CQM的审核；</w:t>
      </w:r>
    </w:p>
    <w:p>
      <w:pPr>
        <w:numPr>
          <w:ilvl w:val="0"/>
          <w:numId w:val="23"/>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经CQM审定，认为获证客户满足认证信息变更的条件，同意批准认证信息变更；</w:t>
      </w:r>
    </w:p>
    <w:p>
      <w:pPr>
        <w:numPr>
          <w:ilvl w:val="0"/>
          <w:numId w:val="23"/>
        </w:numPr>
        <w:spacing w:line="360" w:lineRule="auto"/>
        <w:ind w:left="716" w:leftChars="202" w:hanging="292" w:hangingChars="122"/>
        <w:rPr>
          <w:rFonts w:hint="eastAsia" w:ascii="宋体" w:hAnsi="宋体" w:eastAsia="宋体" w:cs="Times New Roman"/>
          <w:sz w:val="24"/>
          <w:highlight w:val="none"/>
        </w:rPr>
      </w:pPr>
      <w:r>
        <w:rPr>
          <w:rFonts w:hint="eastAsia" w:ascii="宋体" w:hAnsi="宋体" w:eastAsia="宋体" w:cs="Times New Roman"/>
          <w:sz w:val="24"/>
          <w:highlight w:val="none"/>
        </w:rPr>
        <w:t>CQM收回原认证证书，换发认证证书或附件，认证证书的有效期保持不变。</w:t>
      </w:r>
    </w:p>
    <w:p>
      <w:pPr>
        <w:bidi w:val="0"/>
        <w:rPr>
          <w:rFonts w:hint="eastAsia" w:ascii="Times New Roman" w:hAnsi="Times New Roman" w:eastAsia="宋体" w:cs="Times New Roman"/>
          <w:b/>
          <w:bCs/>
          <w:highlight w:val="none"/>
          <w:lang w:val="en-US" w:eastAsia="zh-CN"/>
        </w:rPr>
      </w:pPr>
      <w:bookmarkStart w:id="112" w:name="_Toc85103632"/>
      <w:bookmarkStart w:id="113" w:name="_Toc85256257"/>
      <w:bookmarkStart w:id="114" w:name="_Toc85105521"/>
      <w:bookmarkStart w:id="115" w:name="_Toc185325635"/>
      <w:bookmarkStart w:id="116" w:name="_Toc444776342"/>
      <w:r>
        <w:rPr>
          <w:rFonts w:hint="eastAsia" w:ascii="Times New Roman" w:hAnsi="Times New Roman" w:eastAsia="宋体" w:cs="Times New Roman"/>
          <w:b/>
          <w:bCs/>
          <w:highlight w:val="none"/>
          <w:lang w:val="en-US" w:eastAsia="zh-CN"/>
        </w:rPr>
        <w:t>10.7 暂停认证资格的条件</w:t>
      </w:r>
      <w:bookmarkEnd w:id="112"/>
      <w:bookmarkEnd w:id="113"/>
      <w:bookmarkEnd w:id="114"/>
      <w:r>
        <w:rPr>
          <w:rFonts w:hint="eastAsia" w:ascii="Times New Roman" w:hAnsi="Times New Roman" w:eastAsia="宋体" w:cs="Times New Roman"/>
          <w:b/>
          <w:bCs/>
          <w:highlight w:val="none"/>
          <w:lang w:val="en-US" w:eastAsia="zh-CN"/>
        </w:rPr>
        <w:t>和程序</w:t>
      </w:r>
      <w:bookmarkEnd w:id="115"/>
      <w:bookmarkEnd w:id="116"/>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numPr>
          <w:ilvl w:val="0"/>
          <w:numId w:val="24"/>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获证客户IPMS持续或严重不满足认证要求，包括对知识产权管理体系运行有效性要求的。</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获证客户不承担、履行认证合同约定的责任和义务。</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获证客户在证书有效期间受到相关执法监管部门处罚。</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获证客户被地方认证监管部门发现体系运行存在问题。</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获证客户持有的与知识产权管理体系范围有关的行政许可证明、资质证书、强制性认证证书等过期失效，重新提交的申请已被受理但尚未换证。</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获证客户主动请求暂停。</w:t>
      </w:r>
    </w:p>
    <w:p>
      <w:pPr>
        <w:pStyle w:val="11"/>
        <w:numPr>
          <w:ilvl w:val="0"/>
          <w:numId w:val="24"/>
        </w:numPr>
        <w:tabs>
          <w:tab w:val="left" w:pos="709"/>
          <w:tab w:val="clear" w:pos="1050"/>
        </w:tabs>
        <w:spacing w:after="0" w:line="360" w:lineRule="auto"/>
        <w:ind w:left="709" w:leftChars="0" w:hanging="349"/>
        <w:rPr>
          <w:rFonts w:hint="eastAsia" w:ascii="宋体" w:hAnsi="宋体" w:cs="宋体"/>
          <w:sz w:val="24"/>
          <w:highlight w:val="none"/>
        </w:rPr>
      </w:pPr>
      <w:r>
        <w:rPr>
          <w:rFonts w:hint="eastAsia" w:ascii="宋体" w:hAnsi="宋体" w:cs="宋体"/>
          <w:sz w:val="24"/>
          <w:highlight w:val="none"/>
        </w:rPr>
        <w:t>获证客户发生了与</w:t>
      </w:r>
      <w:r>
        <w:rPr>
          <w:rFonts w:hint="eastAsia" w:ascii="宋体" w:hAnsi="宋体" w:cs="宋体"/>
          <w:sz w:val="24"/>
          <w:highlight w:val="none"/>
          <w:lang w:eastAsia="zh-CN"/>
        </w:rPr>
        <w:t>违反国家法律法规的</w:t>
      </w:r>
      <w:r>
        <w:rPr>
          <w:rFonts w:hint="eastAsia" w:ascii="宋体" w:hAnsi="宋体" w:cs="宋体"/>
          <w:sz w:val="24"/>
          <w:highlight w:val="none"/>
        </w:rPr>
        <w:t>重大事故，反映出</w:t>
      </w:r>
      <w:r>
        <w:rPr>
          <w:rFonts w:hint="eastAsia" w:ascii="宋体" w:hAnsi="宋体" w:cs="宋体"/>
          <w:sz w:val="24"/>
          <w:highlight w:val="none"/>
          <w:lang w:eastAsia="zh-CN"/>
        </w:rPr>
        <w:t>获证客户</w:t>
      </w:r>
      <w:r>
        <w:rPr>
          <w:rFonts w:hint="eastAsia" w:ascii="宋体" w:hAnsi="宋体" w:cs="宋体"/>
          <w:sz w:val="24"/>
          <w:highlight w:val="none"/>
        </w:rPr>
        <w:t>的体系建立及运行存在重大缺陷。</w:t>
      </w:r>
    </w:p>
    <w:p>
      <w:pPr>
        <w:numPr>
          <w:ilvl w:val="0"/>
          <w:numId w:val="24"/>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其他原因需要暂停证书。</w:t>
      </w:r>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.7.2 暂停认证资格的程序</w:t>
      </w:r>
    </w:p>
    <w:p>
      <w:pPr>
        <w:numPr>
          <w:ilvl w:val="0"/>
          <w:numId w:val="25"/>
        </w:numPr>
        <w:tabs>
          <w:tab w:val="left" w:pos="709"/>
          <w:tab w:val="clear" w:pos="1050"/>
        </w:tabs>
        <w:spacing w:line="360" w:lineRule="auto"/>
        <w:ind w:left="709" w:hanging="349"/>
        <w:rPr>
          <w:rFonts w:hint="eastAsia" w:ascii="宋体" w:hAnsi="宋体" w:eastAsia="宋体" w:cs="宋体"/>
          <w:sz w:val="24"/>
          <w:highlight w:val="none"/>
        </w:rPr>
      </w:pPr>
      <w:r>
        <w:rPr>
          <w:rFonts w:hint="eastAsia" w:ascii="宋体" w:hAnsi="宋体" w:eastAsia="宋体" w:cs="宋体"/>
          <w:sz w:val="24"/>
          <w:highlight w:val="none"/>
        </w:rPr>
        <w:t>CQM提出对获证客户暂停全部或部分认证范围内认证资格的建议，并提供理由和证据,或由获证客户向CQM提出暂停认证资格的申请；</w:t>
      </w:r>
    </w:p>
    <w:p>
      <w:pPr>
        <w:numPr>
          <w:ilvl w:val="0"/>
          <w:numId w:val="25"/>
        </w:numPr>
        <w:tabs>
          <w:tab w:val="left" w:pos="709"/>
          <w:tab w:val="clear" w:pos="1050"/>
        </w:tabs>
        <w:spacing w:line="360" w:lineRule="auto"/>
        <w:ind w:left="709" w:hanging="349"/>
        <w:rPr>
          <w:rFonts w:hint="eastAsia" w:ascii="宋体" w:hAnsi="宋体" w:eastAsia="宋体" w:cs="宋体"/>
          <w:sz w:val="24"/>
          <w:highlight w:val="none"/>
        </w:rPr>
      </w:pPr>
      <w:r>
        <w:rPr>
          <w:rFonts w:hint="eastAsia" w:ascii="宋体" w:hAnsi="宋体" w:eastAsia="宋体" w:cs="宋体"/>
          <w:sz w:val="24"/>
          <w:highlight w:val="none"/>
        </w:rPr>
        <w:t>必要时，CQM与获证客户沟通，核实证据；</w:t>
      </w:r>
    </w:p>
    <w:p>
      <w:pPr>
        <w:numPr>
          <w:ilvl w:val="0"/>
          <w:numId w:val="25"/>
        </w:numPr>
        <w:tabs>
          <w:tab w:val="left" w:pos="709"/>
          <w:tab w:val="clear" w:pos="1050"/>
        </w:tabs>
        <w:spacing w:line="360" w:lineRule="auto"/>
        <w:ind w:left="709" w:hanging="349"/>
        <w:rPr>
          <w:rFonts w:hint="eastAsia" w:ascii="宋体" w:hAnsi="宋体" w:eastAsia="宋体" w:cs="宋体"/>
          <w:sz w:val="24"/>
          <w:highlight w:val="none"/>
        </w:rPr>
      </w:pPr>
      <w:r>
        <w:rPr>
          <w:rFonts w:hint="eastAsia" w:ascii="宋体" w:hAnsi="宋体" w:eastAsia="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认证处置决定通知书》并公告；</w:t>
      </w:r>
    </w:p>
    <w:p>
      <w:pPr>
        <w:numPr>
          <w:ilvl w:val="0"/>
          <w:numId w:val="25"/>
        </w:numPr>
        <w:tabs>
          <w:tab w:val="left" w:pos="709"/>
          <w:tab w:val="clear" w:pos="1050"/>
        </w:tabs>
        <w:spacing w:line="360" w:lineRule="auto"/>
        <w:ind w:left="709" w:hanging="349"/>
        <w:rPr>
          <w:rFonts w:hint="eastAsia" w:ascii="宋体" w:hAnsi="宋体" w:eastAsia="宋体" w:cs="宋体"/>
          <w:sz w:val="24"/>
          <w:highlight w:val="none"/>
        </w:rPr>
      </w:pPr>
      <w:r>
        <w:rPr>
          <w:rFonts w:hint="eastAsia" w:ascii="宋体" w:hAnsi="宋体" w:eastAsia="宋体" w:cs="宋体"/>
          <w:sz w:val="24"/>
          <w:highlight w:val="none"/>
        </w:rPr>
        <w:t>获证客户按照《知识产权管理体系认证证书、标志标识使用规则》停止使用认证证书和认证标志, 在暂停期间，客户的管理体系认证暂时无效。</w:t>
      </w:r>
    </w:p>
    <w:p>
      <w:pPr>
        <w:bidi w:val="0"/>
        <w:rPr>
          <w:rFonts w:hint="eastAsia" w:ascii="Times New Roman" w:hAnsi="Times New Roman" w:eastAsia="宋体" w:cs="Times New Roman"/>
          <w:b/>
          <w:bCs/>
          <w:highlight w:val="none"/>
          <w:lang w:val="en-US" w:eastAsia="zh-CN"/>
        </w:rPr>
      </w:pPr>
      <w:bookmarkStart w:id="117" w:name="_Toc85256258"/>
      <w:bookmarkStart w:id="118" w:name="_Toc85103633"/>
      <w:bookmarkStart w:id="119" w:name="_Toc85105522"/>
      <w:bookmarkStart w:id="120" w:name="_Toc185325636"/>
      <w:bookmarkStart w:id="121" w:name="_Toc444776343"/>
      <w:r>
        <w:rPr>
          <w:rFonts w:hint="eastAsia" w:ascii="Times New Roman" w:hAnsi="Times New Roman" w:eastAsia="宋体" w:cs="Times New Roman"/>
          <w:b/>
          <w:bCs/>
          <w:highlight w:val="none"/>
          <w:lang w:val="en-US" w:eastAsia="zh-CN"/>
        </w:rPr>
        <w:t>10.8 恢复认证资格的条件</w:t>
      </w:r>
      <w:bookmarkEnd w:id="117"/>
      <w:bookmarkEnd w:id="118"/>
      <w:bookmarkEnd w:id="119"/>
      <w:r>
        <w:rPr>
          <w:rFonts w:hint="eastAsia" w:ascii="Times New Roman" w:hAnsi="Times New Roman" w:eastAsia="宋体" w:cs="Times New Roman"/>
          <w:b/>
          <w:bCs/>
          <w:highlight w:val="none"/>
          <w:lang w:val="en-US" w:eastAsia="zh-CN"/>
        </w:rPr>
        <w:t>和程序</w:t>
      </w:r>
      <w:bookmarkEnd w:id="120"/>
      <w:bookmarkEnd w:id="121"/>
    </w:p>
    <w:p>
      <w:pPr>
        <w:spacing w:line="360" w:lineRule="auto"/>
        <w:rPr>
          <w:rFonts w:hint="eastAsia"/>
          <w:bCs/>
          <w:highlight w:val="none"/>
        </w:rPr>
      </w:pPr>
      <w:r>
        <w:rPr>
          <w:rFonts w:hint="eastAsia" w:ascii="宋体" w:hAnsi="宋体"/>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6"/>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6"/>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6"/>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bookmarkEnd w:id="80"/>
    <w:bookmarkEnd w:id="81"/>
    <w:bookmarkEnd w:id="82"/>
    <w:bookmarkEnd w:id="83"/>
    <w:bookmarkEnd w:id="84"/>
    <w:bookmarkEnd w:id="85"/>
    <w:bookmarkEnd w:id="86"/>
    <w:p>
      <w:pPr>
        <w:bidi w:val="0"/>
        <w:rPr>
          <w:rFonts w:hint="eastAsia" w:ascii="Times New Roman" w:hAnsi="Times New Roman" w:eastAsia="宋体" w:cs="Times New Roman"/>
          <w:b/>
          <w:bCs/>
          <w:highlight w:val="none"/>
          <w:lang w:val="en-US" w:eastAsia="zh-CN"/>
        </w:rPr>
      </w:pPr>
      <w:bookmarkStart w:id="122" w:name="_Toc85103635"/>
      <w:bookmarkStart w:id="123" w:name="_Toc85256260"/>
      <w:bookmarkStart w:id="124" w:name="_Toc85105524"/>
      <w:bookmarkStart w:id="125" w:name="_Toc185325638"/>
      <w:bookmarkStart w:id="126" w:name="_Toc444776345"/>
      <w:r>
        <w:rPr>
          <w:rFonts w:hint="eastAsia" w:ascii="Times New Roman" w:hAnsi="Times New Roman" w:eastAsia="宋体" w:cs="Times New Roman"/>
          <w:b/>
          <w:bCs/>
          <w:highlight w:val="none"/>
          <w:lang w:val="en-US" w:eastAsia="zh-CN"/>
        </w:rPr>
        <w:t>10.9 撤销认证资格的条件</w:t>
      </w:r>
      <w:bookmarkEnd w:id="122"/>
      <w:bookmarkEnd w:id="123"/>
      <w:bookmarkEnd w:id="124"/>
      <w:r>
        <w:rPr>
          <w:rFonts w:hint="eastAsia" w:ascii="Times New Roman" w:hAnsi="Times New Roman" w:eastAsia="宋体" w:cs="Times New Roman"/>
          <w:b/>
          <w:bCs/>
          <w:highlight w:val="none"/>
          <w:lang w:val="en-US" w:eastAsia="zh-CN"/>
        </w:rPr>
        <w:t>和程序</w:t>
      </w:r>
      <w:bookmarkEnd w:id="125"/>
      <w:bookmarkEnd w:id="126"/>
    </w:p>
    <w:p>
      <w:pPr>
        <w:spacing w:line="360" w:lineRule="auto"/>
        <w:rPr>
          <w:rFonts w:hint="eastAsia"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获证客户审核未通过。</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获证客户被注销或撤销法律地位证明文件。</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获证客户拒绝配合认证监管部门实施的监督检查，或者对有关事项的询问和调查提供了虚假材料或信息。</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被相关政府主管部门认定存在严重违法失信行为的。</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获证客户在证书有效期间有其他严重违反法律法规行为，受到相关执法监管部门处罚。</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获证客户暂停认证证书的期限已满但导致暂停的问题未得到解决或纠正。</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获证客户没有运行管理体系或者已不具备运行条件。</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获证客户不按相关规定正确引用和宣传获得的认证信息，造成严重影响或后果。</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获证客户发生了重大事故，反映出获证客户的体系建立及运行存在重大缺陷。</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获证客户因换发新证而撤销旧证书。</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获证客户不承担、履行认证合同约定的责任和义务。</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获证客户主动放弃认证。</w:t>
      </w:r>
    </w:p>
    <w:p>
      <w:pPr>
        <w:numPr>
          <w:ilvl w:val="0"/>
          <w:numId w:val="27"/>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并公告，认证客户不得再使用认证证书和认证标志。</w:t>
      </w:r>
    </w:p>
    <w:p>
      <w:pPr>
        <w:spacing w:line="360" w:lineRule="auto"/>
        <w:ind w:firstLine="480" w:firstLineChars="200"/>
        <w:jc w:val="left"/>
        <w:rPr>
          <w:rFonts w:hint="eastAsia" w:ascii="宋体" w:hAnsi="宋体"/>
          <w:sz w:val="24"/>
          <w:highlight w:val="none"/>
        </w:rPr>
      </w:pPr>
    </w:p>
    <w:p>
      <w:pPr>
        <w:pStyle w:val="2"/>
        <w:spacing w:line="360" w:lineRule="auto"/>
        <w:rPr>
          <w:rFonts w:hint="eastAsia" w:ascii="宋体" w:hAnsi="宋体"/>
          <w:highlight w:val="none"/>
        </w:rPr>
      </w:pPr>
      <w:bookmarkStart w:id="127" w:name="_Toc27590"/>
      <w:bookmarkStart w:id="128" w:name="_Toc85103636"/>
      <w:bookmarkStart w:id="129" w:name="_Toc85256261"/>
      <w:bookmarkStart w:id="130" w:name="_Toc85105525"/>
      <w:bookmarkStart w:id="131" w:name="_Toc185325639"/>
      <w:r>
        <w:rPr>
          <w:rFonts w:hint="eastAsia" w:ascii="宋体" w:hAnsi="宋体"/>
          <w:highlight w:val="none"/>
          <w:lang w:val="en-US" w:eastAsia="zh-CN"/>
        </w:rPr>
        <w:t>11</w:t>
      </w:r>
      <w:r>
        <w:rPr>
          <w:rFonts w:hint="eastAsia" w:ascii="宋体" w:hAnsi="宋体"/>
          <w:highlight w:val="none"/>
        </w:rPr>
        <w:t xml:space="preserve"> 认证证书和认证标志</w:t>
      </w:r>
      <w:bookmarkEnd w:id="127"/>
      <w:bookmarkEnd w:id="128"/>
      <w:bookmarkEnd w:id="129"/>
      <w:bookmarkEnd w:id="130"/>
      <w:bookmarkEnd w:id="131"/>
    </w:p>
    <w:p>
      <w:pPr>
        <w:bidi w:val="0"/>
        <w:rPr>
          <w:rFonts w:hint="eastAsia" w:ascii="Times New Roman" w:hAnsi="Times New Roman" w:eastAsia="宋体" w:cs="Times New Roman"/>
          <w:b/>
          <w:bCs/>
          <w:highlight w:val="none"/>
          <w:lang w:val="en-US" w:eastAsia="zh-CN"/>
        </w:rPr>
      </w:pPr>
      <w:bookmarkStart w:id="132" w:name="_Toc85256262"/>
      <w:bookmarkStart w:id="133" w:name="_Toc85105526"/>
      <w:bookmarkStart w:id="134" w:name="_Toc85103637"/>
      <w:bookmarkStart w:id="135" w:name="_Toc444776347"/>
      <w:bookmarkStart w:id="136" w:name="_Toc185325640"/>
      <w:r>
        <w:rPr>
          <w:rFonts w:hint="eastAsia" w:ascii="Times New Roman" w:hAnsi="Times New Roman" w:eastAsia="宋体" w:cs="Times New Roman"/>
          <w:b/>
          <w:bCs/>
          <w:highlight w:val="none"/>
          <w:lang w:val="en-US" w:eastAsia="zh-CN"/>
        </w:rPr>
        <w:t>11.1 认证证书和认证标志</w:t>
      </w:r>
      <w:bookmarkEnd w:id="132"/>
      <w:bookmarkEnd w:id="133"/>
      <w:bookmarkEnd w:id="134"/>
      <w:bookmarkEnd w:id="135"/>
      <w:bookmarkEnd w:id="136"/>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rPr>
          <w:rFonts w:hint="eastAsia" w:ascii="宋体" w:hAnsi="宋体"/>
          <w:szCs w:val="21"/>
          <w:highlight w:val="none"/>
        </w:rPr>
      </w:pPr>
      <w:r>
        <w:rPr>
          <w:rFonts w:hint="eastAsia" w:ascii="宋体" w:hAnsi="宋体"/>
          <w:sz w:val="24"/>
          <w:highlight w:val="none"/>
        </w:rPr>
        <w:t xml:space="preserve"> </w:t>
      </w:r>
      <w:r>
        <w:rPr>
          <w:rFonts w:ascii="宋体" w:cs="宋体"/>
          <w:sz w:val="24"/>
          <w:highlight w:val="none"/>
        </w:rPr>
        <w:drawing>
          <wp:inline distT="0" distB="0" distL="114300" distR="114300">
            <wp:extent cx="1421130" cy="1207135"/>
            <wp:effectExtent l="0" t="0" r="7620" b="12065"/>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13"/>
                    <a:stretch>
                      <a:fillRect/>
                    </a:stretch>
                  </pic:blipFill>
                  <pic:spPr>
                    <a:xfrm>
                      <a:off x="0" y="0"/>
                      <a:ext cx="1421130" cy="1207135"/>
                    </a:xfrm>
                    <a:prstGeom prst="rect">
                      <a:avLst/>
                    </a:prstGeom>
                    <a:noFill/>
                    <a:ln>
                      <a:noFill/>
                    </a:ln>
                  </pic:spPr>
                </pic:pic>
              </a:graphicData>
            </a:graphic>
          </wp:inline>
        </w:drawing>
      </w:r>
      <w:r>
        <w:rPr>
          <w:rFonts w:hint="eastAsia" w:ascii="宋体" w:hAnsi="宋体"/>
          <w:sz w:val="24"/>
          <w:highlight w:val="none"/>
        </w:rPr>
        <w:t xml:space="preserve">       </w:t>
      </w:r>
    </w:p>
    <w:p>
      <w:pPr>
        <w:bidi w:val="0"/>
        <w:rPr>
          <w:rFonts w:hint="eastAsia" w:ascii="Times New Roman" w:hAnsi="Times New Roman" w:eastAsia="宋体" w:cs="Times New Roman"/>
          <w:b/>
          <w:bCs/>
          <w:highlight w:val="none"/>
          <w:lang w:val="en-US" w:eastAsia="zh-CN"/>
        </w:rPr>
      </w:pPr>
      <w:bookmarkStart w:id="137" w:name="_Toc85256263"/>
      <w:bookmarkStart w:id="138" w:name="_Toc185325641"/>
      <w:bookmarkStart w:id="139" w:name="_Toc85105527"/>
      <w:bookmarkStart w:id="140" w:name="_Toc444776348"/>
      <w:r>
        <w:rPr>
          <w:rFonts w:hint="eastAsia" w:ascii="Times New Roman" w:hAnsi="Times New Roman" w:eastAsia="宋体" w:cs="Times New Roman"/>
          <w:b/>
          <w:bCs/>
          <w:highlight w:val="none"/>
          <w:lang w:val="en-US" w:eastAsia="zh-CN"/>
        </w:rPr>
        <w:t>11.2 认证证书和认证标志的使用</w:t>
      </w:r>
      <w:bookmarkEnd w:id="137"/>
      <w:bookmarkEnd w:id="138"/>
      <w:bookmarkEnd w:id="139"/>
      <w:bookmarkEnd w:id="140"/>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获证客户应建立认证证书和认证标志的使用方案，获证后按照《知识产权管理体系认证证书、标志标识使用规则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bidi w:val="0"/>
        <w:rPr>
          <w:rFonts w:hint="eastAsia" w:ascii="Times New Roman" w:hAnsi="Times New Roman" w:eastAsia="宋体" w:cs="Times New Roman"/>
          <w:b/>
          <w:bCs/>
          <w:highlight w:val="none"/>
          <w:lang w:val="en-US" w:eastAsia="zh-CN"/>
        </w:rPr>
      </w:pPr>
      <w:bookmarkStart w:id="141" w:name="_Toc444776349"/>
      <w:bookmarkStart w:id="142" w:name="_Toc185325642"/>
      <w:bookmarkStart w:id="143" w:name="_Toc85105528"/>
      <w:bookmarkStart w:id="144" w:name="_Toc85103638"/>
      <w:bookmarkStart w:id="145" w:name="_Toc85256264"/>
      <w:r>
        <w:rPr>
          <w:rFonts w:hint="eastAsia" w:ascii="Times New Roman" w:hAnsi="Times New Roman" w:eastAsia="宋体" w:cs="Times New Roman"/>
          <w:b/>
          <w:bCs/>
          <w:highlight w:val="none"/>
          <w:lang w:val="en-US" w:eastAsia="zh-CN"/>
        </w:rPr>
        <w:t>11.3 认证证书和认证标志的误用</w:t>
      </w:r>
      <w:bookmarkEnd w:id="141"/>
      <w:bookmarkEnd w:id="142"/>
      <w:bookmarkEnd w:id="143"/>
      <w:bookmarkEnd w:id="144"/>
      <w:bookmarkEnd w:id="145"/>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见《知识产权管理体系认证证书、标志标识使用规则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w:t>
      </w:r>
      <w:r>
        <w:rPr>
          <w:rFonts w:hint="eastAsia" w:ascii="宋体" w:hAnsi="宋体"/>
          <w:sz w:val="24"/>
          <w:highlight w:val="none"/>
          <w:lang w:val="en-US" w:eastAsia="zh-CN"/>
        </w:rPr>
        <w:t>CQM</w:t>
      </w:r>
      <w:r>
        <w:rPr>
          <w:rFonts w:hint="eastAsia" w:ascii="宋体" w:hAnsi="宋体"/>
          <w:sz w:val="24"/>
          <w:highlight w:val="none"/>
        </w:rPr>
        <w:t>审核管理部门。</w:t>
      </w:r>
      <w:bookmarkStart w:id="146" w:name="_Toc33600430"/>
      <w:bookmarkStart w:id="147" w:name="_Toc33599723"/>
      <w:bookmarkStart w:id="148" w:name="_Toc33600386"/>
      <w:bookmarkStart w:id="149" w:name="_Toc33599596"/>
    </w:p>
    <w:p>
      <w:pPr>
        <w:spacing w:line="360" w:lineRule="auto"/>
        <w:ind w:firstLine="480" w:firstLineChars="200"/>
        <w:rPr>
          <w:rFonts w:hint="eastAsia" w:ascii="宋体" w:hAnsi="宋体"/>
          <w:sz w:val="24"/>
          <w:highlight w:val="none"/>
        </w:rPr>
      </w:pPr>
    </w:p>
    <w:bookmarkEnd w:id="146"/>
    <w:bookmarkEnd w:id="147"/>
    <w:bookmarkEnd w:id="148"/>
    <w:bookmarkEnd w:id="149"/>
    <w:p>
      <w:pPr>
        <w:pStyle w:val="2"/>
        <w:spacing w:line="360" w:lineRule="auto"/>
        <w:rPr>
          <w:rFonts w:hint="eastAsia" w:ascii="宋体" w:hAnsi="宋体"/>
          <w:highlight w:val="none"/>
        </w:rPr>
      </w:pPr>
      <w:bookmarkStart w:id="150" w:name="_Toc26494"/>
      <w:bookmarkStart w:id="151" w:name="_Toc185325643"/>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bookmarkEnd w:id="150"/>
      <w:bookmarkEnd w:id="151"/>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w:t>
      </w:r>
      <w:r>
        <w:rPr>
          <w:rFonts w:hint="eastAsia" w:ascii="宋体" w:hAnsi="宋体"/>
          <w:sz w:val="24"/>
          <w:highlight w:val="none"/>
          <w:lang w:val="en-US" w:eastAsia="zh-CN"/>
        </w:rPr>
        <w:t>CQM</w:t>
      </w:r>
      <w:r>
        <w:rPr>
          <w:rFonts w:hint="eastAsia" w:ascii="宋体" w:hAnsi="宋体"/>
          <w:sz w:val="24"/>
          <w:highlight w:val="none"/>
        </w:rPr>
        <w:t>通报最新信息的程序，并及时通报其重大投诉、国家监督检查结果、知识产权重大事故及获证客户变更的各种信息等。变更信息包括（但不限于）以下：</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组织名称，组织法人，隶属关系；</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联系人，联系方式(包括：电话、传真、手机)；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组织地址(包括：注册地址、认证地址、邮编)；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体系覆盖人数；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认证范围变化；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组织机构和职能分配；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证书表述的组织认证场所/生产场；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管理体系文件；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 xml:space="preserve">产品标准；       </w:t>
      </w:r>
    </w:p>
    <w:p>
      <w:pPr>
        <w:numPr>
          <w:ilvl w:val="0"/>
          <w:numId w:val="28"/>
        </w:numPr>
        <w:tabs>
          <w:tab w:val="left" w:pos="720"/>
          <w:tab w:val="clear" w:pos="1082"/>
        </w:tabs>
        <w:spacing w:line="360" w:lineRule="auto"/>
        <w:ind w:left="720"/>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商标。</w:t>
      </w:r>
    </w:p>
    <w:p>
      <w:pPr>
        <w:spacing w:line="360" w:lineRule="auto"/>
        <w:ind w:firstLine="480" w:firstLineChars="200"/>
        <w:rPr>
          <w:rFonts w:hint="eastAsia" w:ascii="宋体" w:hAnsi="宋体"/>
          <w:sz w:val="24"/>
          <w:highlight w:val="none"/>
        </w:rPr>
      </w:pPr>
      <w:bookmarkStart w:id="152" w:name="_Toc33600390"/>
      <w:bookmarkStart w:id="153" w:name="_Toc33599600"/>
      <w:bookmarkStart w:id="154" w:name="_Toc33600434"/>
      <w:bookmarkStart w:id="155" w:name="_Toc33599727"/>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hint="eastAsia" w:ascii="宋体" w:hAnsi="宋体"/>
          <w:sz w:val="24"/>
          <w:highlight w:val="none"/>
        </w:rPr>
      </w:pPr>
    </w:p>
    <w:bookmarkEnd w:id="152"/>
    <w:bookmarkEnd w:id="153"/>
    <w:bookmarkEnd w:id="154"/>
    <w:bookmarkEnd w:id="155"/>
    <w:p>
      <w:pPr>
        <w:pStyle w:val="2"/>
        <w:spacing w:line="360" w:lineRule="auto"/>
        <w:rPr>
          <w:rFonts w:hint="eastAsia" w:ascii="宋体" w:hAnsi="宋体"/>
          <w:highlight w:val="none"/>
          <w:lang w:eastAsia="zh-CN"/>
        </w:rPr>
      </w:pPr>
      <w:bookmarkStart w:id="156" w:name="_Toc33600403"/>
      <w:bookmarkStart w:id="157" w:name="_Toc33599740"/>
      <w:bookmarkStart w:id="158" w:name="_Toc33600447"/>
      <w:bookmarkStart w:id="159" w:name="_Toc33599613"/>
      <w:bookmarkStart w:id="160" w:name="_Toc85105535"/>
      <w:bookmarkStart w:id="161" w:name="_Toc85256271"/>
      <w:bookmarkStart w:id="162" w:name="_Toc85103645"/>
      <w:bookmarkStart w:id="163" w:name="_Toc185325644"/>
      <w:bookmarkStart w:id="164" w:name="_Toc24905"/>
      <w:r>
        <w:rPr>
          <w:rFonts w:hint="eastAsia" w:ascii="宋体" w:hAnsi="宋体"/>
          <w:highlight w:val="none"/>
          <w:lang w:val="en-US" w:eastAsia="zh-CN"/>
        </w:rPr>
        <w:t>13</w:t>
      </w:r>
      <w:r>
        <w:rPr>
          <w:rFonts w:hint="eastAsia" w:ascii="宋体" w:hAnsi="宋体"/>
          <w:highlight w:val="none"/>
        </w:rPr>
        <w:t xml:space="preserve"> 认证要求</w:t>
      </w:r>
      <w:bookmarkEnd w:id="156"/>
      <w:bookmarkEnd w:id="157"/>
      <w:bookmarkEnd w:id="158"/>
      <w:bookmarkEnd w:id="159"/>
      <w:r>
        <w:rPr>
          <w:rFonts w:hint="eastAsia" w:ascii="宋体" w:hAnsi="宋体"/>
          <w:highlight w:val="none"/>
        </w:rPr>
        <w:t>变更</w:t>
      </w:r>
      <w:bookmarkEnd w:id="160"/>
      <w:bookmarkEnd w:id="161"/>
      <w:bookmarkEnd w:id="162"/>
      <w:bookmarkEnd w:id="163"/>
      <w:r>
        <w:rPr>
          <w:rFonts w:hint="eastAsia" w:ascii="宋体" w:hAnsi="宋体"/>
          <w:highlight w:val="none"/>
          <w:lang w:eastAsia="zh-CN"/>
        </w:rPr>
        <w:t>的条件和程序</w:t>
      </w:r>
      <w:bookmarkEnd w:id="164"/>
    </w:p>
    <w:p>
      <w:pPr>
        <w:bidi w:val="0"/>
        <w:rPr>
          <w:rFonts w:hint="eastAsia" w:ascii="Times New Roman" w:hAnsi="Times New Roman" w:eastAsia="宋体" w:cs="Times New Roman"/>
          <w:b/>
          <w:bCs/>
          <w:highlight w:val="none"/>
          <w:lang w:val="en-US" w:eastAsia="zh-CN"/>
        </w:rPr>
      </w:pPr>
      <w:bookmarkStart w:id="165" w:name="_Toc444776352"/>
      <w:r>
        <w:rPr>
          <w:rFonts w:hint="eastAsia" w:ascii="Times New Roman" w:hAnsi="Times New Roman" w:eastAsia="宋体" w:cs="Times New Roman"/>
          <w:b/>
          <w:bCs/>
          <w:highlight w:val="none"/>
          <w:lang w:val="en-US" w:eastAsia="zh-CN"/>
        </w:rPr>
        <w:t>13.1 认证要求变更的条件</w:t>
      </w:r>
      <w:bookmarkEnd w:id="165"/>
    </w:p>
    <w:p>
      <w:pPr>
        <w:numPr>
          <w:ilvl w:val="0"/>
          <w:numId w:val="29"/>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9"/>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9"/>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9"/>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bidi w:val="0"/>
        <w:rPr>
          <w:rFonts w:hint="eastAsia" w:ascii="Times New Roman" w:hAnsi="Times New Roman" w:eastAsia="宋体" w:cs="Times New Roman"/>
          <w:b/>
          <w:bCs/>
          <w:highlight w:val="none"/>
          <w:lang w:val="en-US" w:eastAsia="zh-CN"/>
        </w:rPr>
      </w:pPr>
      <w:bookmarkStart w:id="166" w:name="_Toc444776353"/>
      <w:r>
        <w:rPr>
          <w:rFonts w:hint="eastAsia" w:ascii="Times New Roman" w:hAnsi="Times New Roman" w:eastAsia="宋体" w:cs="Times New Roman"/>
          <w:b/>
          <w:bCs/>
          <w:highlight w:val="none"/>
          <w:lang w:val="en-US" w:eastAsia="zh-CN"/>
        </w:rPr>
        <w:t>13.2 认证要求变更的程序</w:t>
      </w:r>
      <w:bookmarkEnd w:id="166"/>
    </w:p>
    <w:p>
      <w:pPr>
        <w:numPr>
          <w:ilvl w:val="0"/>
          <w:numId w:val="30"/>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30"/>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30"/>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hint="eastAsia" w:ascii="宋体" w:hAnsi="宋体"/>
          <w:sz w:val="24"/>
          <w:highlight w:val="none"/>
        </w:rPr>
      </w:pPr>
    </w:p>
    <w:p>
      <w:pPr>
        <w:pStyle w:val="2"/>
        <w:spacing w:line="360" w:lineRule="auto"/>
        <w:rPr>
          <w:rFonts w:hint="eastAsia" w:ascii="宋体" w:hAnsi="宋体"/>
          <w:highlight w:val="none"/>
        </w:rPr>
      </w:pPr>
      <w:bookmarkStart w:id="167" w:name="_Toc185325645"/>
      <w:bookmarkStart w:id="168" w:name="_Toc85105536"/>
      <w:bookmarkStart w:id="169" w:name="_Toc85256272"/>
      <w:bookmarkStart w:id="170" w:name="_Toc33600448"/>
      <w:bookmarkStart w:id="171" w:name="_Toc85103646"/>
      <w:bookmarkStart w:id="172" w:name="_Toc29313"/>
      <w:bookmarkStart w:id="173" w:name="_Toc33599741"/>
      <w:bookmarkStart w:id="174" w:name="_Toc33600404"/>
      <w:bookmarkStart w:id="175" w:name="_Toc33599614"/>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67"/>
      <w:bookmarkEnd w:id="168"/>
      <w:bookmarkEnd w:id="169"/>
      <w:bookmarkEnd w:id="170"/>
      <w:bookmarkEnd w:id="171"/>
      <w:bookmarkEnd w:id="172"/>
      <w:bookmarkEnd w:id="173"/>
      <w:bookmarkEnd w:id="174"/>
      <w:bookmarkEnd w:id="175"/>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76" w:name="_Toc33600405"/>
      <w:bookmarkStart w:id="177" w:name="_Toc33600449"/>
      <w:bookmarkStart w:id="178" w:name="_Toc33599742"/>
      <w:bookmarkStart w:id="179" w:name="_Toc33599615"/>
    </w:p>
    <w:p>
      <w:pPr>
        <w:spacing w:line="360" w:lineRule="auto"/>
        <w:ind w:firstLine="480"/>
        <w:rPr>
          <w:rFonts w:hint="eastAsia" w:ascii="宋体" w:hAnsi="宋体"/>
          <w:sz w:val="24"/>
          <w:highlight w:val="none"/>
        </w:rPr>
      </w:pPr>
    </w:p>
    <w:bookmarkEnd w:id="176"/>
    <w:bookmarkEnd w:id="177"/>
    <w:bookmarkEnd w:id="178"/>
    <w:bookmarkEnd w:id="179"/>
    <w:p>
      <w:pPr>
        <w:pStyle w:val="2"/>
        <w:spacing w:line="360" w:lineRule="auto"/>
        <w:rPr>
          <w:rFonts w:hint="eastAsia" w:ascii="宋体" w:hAnsi="宋体"/>
          <w:highlight w:val="none"/>
        </w:rPr>
      </w:pPr>
      <w:bookmarkStart w:id="180" w:name="_Toc85256273"/>
      <w:bookmarkStart w:id="181" w:name="_Toc12991"/>
      <w:bookmarkStart w:id="182" w:name="_Toc185325646"/>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80"/>
      <w:bookmarkEnd w:id="181"/>
      <w:bookmarkEnd w:id="182"/>
    </w:p>
    <w:p>
      <w:pPr>
        <w:pStyle w:val="16"/>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hint="eastAsia" w:ascii="宋体"/>
          <w:bCs/>
          <w:sz w:val="24"/>
          <w:highlight w:val="none"/>
        </w:rPr>
      </w:pPr>
    </w:p>
    <w:p>
      <w:pPr>
        <w:pStyle w:val="2"/>
        <w:spacing w:line="360" w:lineRule="auto"/>
        <w:rPr>
          <w:rFonts w:hint="eastAsia" w:ascii="宋体" w:hAnsi="宋体"/>
          <w:highlight w:val="none"/>
        </w:rPr>
      </w:pPr>
      <w:bookmarkStart w:id="183" w:name="_Toc185325647"/>
      <w:bookmarkStart w:id="184" w:name="_Toc85256274"/>
      <w:bookmarkStart w:id="185" w:name="_Toc85105541"/>
      <w:bookmarkStart w:id="186" w:name="_Toc85103651"/>
      <w:bookmarkStart w:id="187" w:name="_Toc1855"/>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83"/>
      <w:bookmarkEnd w:id="184"/>
      <w:bookmarkEnd w:id="185"/>
      <w:bookmarkEnd w:id="186"/>
      <w:bookmarkEnd w:id="187"/>
    </w:p>
    <w:p>
      <w:pPr>
        <w:spacing w:line="360" w:lineRule="auto"/>
        <w:ind w:firstLine="480"/>
        <w:rPr>
          <w:rFonts w:hint="eastAsia" w:ascii="宋体" w:hAnsi="宋体"/>
          <w:sz w:val="24"/>
          <w:highlight w:val="none"/>
        </w:rPr>
      </w:pPr>
      <w:r>
        <w:rPr>
          <w:rFonts w:hint="eastAsia" w:ascii="宋体" w:hAnsi="宋体"/>
          <w:sz w:val="24"/>
          <w:highlight w:val="none"/>
        </w:rPr>
        <w:t>实施本方案的费用，按《知识产权管理体系认证收费管理规则》执行。</w:t>
      </w:r>
      <w:bookmarkStart w:id="188" w:name="_Toc33600452"/>
      <w:bookmarkStart w:id="189" w:name="_Toc33599745"/>
      <w:bookmarkStart w:id="190" w:name="_Toc33600408"/>
      <w:bookmarkStart w:id="191" w:name="_Toc33599618"/>
    </w:p>
    <w:p>
      <w:pPr>
        <w:spacing w:line="360" w:lineRule="auto"/>
        <w:ind w:firstLine="480"/>
        <w:rPr>
          <w:rFonts w:hint="eastAsia" w:ascii="宋体" w:hAnsi="宋体"/>
          <w:sz w:val="24"/>
          <w:highlight w:val="none"/>
        </w:rPr>
      </w:pPr>
    </w:p>
    <w:p>
      <w:pPr>
        <w:pStyle w:val="2"/>
        <w:spacing w:line="360" w:lineRule="auto"/>
        <w:rPr>
          <w:rFonts w:hint="eastAsia"/>
          <w:highlight w:val="none"/>
        </w:rPr>
      </w:pPr>
      <w:bookmarkStart w:id="192" w:name="_Toc14148"/>
      <w:bookmarkStart w:id="193" w:name="_Toc85256275"/>
      <w:bookmarkStart w:id="194" w:name="_Toc85103652"/>
      <w:bookmarkStart w:id="195" w:name="_Toc185325648"/>
      <w:bookmarkStart w:id="196" w:name="_Toc85105542"/>
      <w:r>
        <w:rPr>
          <w:rFonts w:hint="eastAsia"/>
          <w:highlight w:val="none"/>
        </w:rPr>
        <w:t>1</w:t>
      </w:r>
      <w:r>
        <w:rPr>
          <w:rFonts w:hint="eastAsia"/>
          <w:highlight w:val="none"/>
          <w:lang w:val="en-US" w:eastAsia="zh-CN"/>
        </w:rPr>
        <w:t>7</w:t>
      </w:r>
      <w:r>
        <w:rPr>
          <w:rFonts w:hint="eastAsia"/>
          <w:highlight w:val="none"/>
        </w:rPr>
        <w:t xml:space="preserve"> 公告</w:t>
      </w:r>
      <w:bookmarkEnd w:id="188"/>
      <w:bookmarkEnd w:id="189"/>
      <w:bookmarkEnd w:id="190"/>
      <w:bookmarkEnd w:id="191"/>
      <w:bookmarkEnd w:id="192"/>
      <w:bookmarkEnd w:id="193"/>
      <w:bookmarkEnd w:id="194"/>
      <w:bookmarkEnd w:id="195"/>
      <w:bookmarkEnd w:id="196"/>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bookmarkStart w:id="197" w:name="_Toc33599619"/>
      <w:bookmarkStart w:id="198" w:name="_Toc33600409"/>
      <w:bookmarkStart w:id="199" w:name="_Toc33600453"/>
      <w:bookmarkStart w:id="200" w:name="_Toc33599746"/>
    </w:p>
    <w:p>
      <w:pPr>
        <w:spacing w:line="360" w:lineRule="auto"/>
        <w:ind w:firstLine="480"/>
        <w:rPr>
          <w:rFonts w:hint="eastAsia" w:ascii="宋体" w:hAnsi="宋体"/>
          <w:sz w:val="24"/>
          <w:highlight w:val="none"/>
        </w:rPr>
      </w:pPr>
    </w:p>
    <w:p>
      <w:pPr>
        <w:pStyle w:val="2"/>
        <w:spacing w:line="360" w:lineRule="auto"/>
        <w:rPr>
          <w:rFonts w:hint="eastAsia"/>
          <w:highlight w:val="none"/>
        </w:rPr>
      </w:pPr>
      <w:bookmarkStart w:id="201" w:name="_Toc85103653"/>
      <w:bookmarkStart w:id="202" w:name="_Toc85105543"/>
      <w:bookmarkStart w:id="203" w:name="_Toc185325649"/>
      <w:bookmarkStart w:id="204" w:name="_Toc85256276"/>
      <w:bookmarkStart w:id="205" w:name="_Toc5915"/>
      <w:r>
        <w:rPr>
          <w:rFonts w:hint="eastAsia"/>
          <w:highlight w:val="none"/>
        </w:rPr>
        <w:t>1</w:t>
      </w:r>
      <w:r>
        <w:rPr>
          <w:rFonts w:hint="eastAsia"/>
          <w:highlight w:val="none"/>
          <w:lang w:val="en-US" w:eastAsia="zh-CN"/>
        </w:rPr>
        <w:t>8</w:t>
      </w:r>
      <w:r>
        <w:rPr>
          <w:rFonts w:hint="eastAsia"/>
          <w:highlight w:val="none"/>
        </w:rPr>
        <w:t xml:space="preserve"> 附则</w:t>
      </w:r>
      <w:bookmarkEnd w:id="197"/>
      <w:bookmarkEnd w:id="198"/>
      <w:bookmarkEnd w:id="199"/>
      <w:bookmarkEnd w:id="200"/>
      <w:bookmarkEnd w:id="201"/>
      <w:bookmarkEnd w:id="202"/>
      <w:bookmarkEnd w:id="203"/>
      <w:bookmarkEnd w:id="204"/>
      <w:bookmarkEnd w:id="205"/>
    </w:p>
    <w:p>
      <w:pPr>
        <w:spacing w:line="360" w:lineRule="auto"/>
        <w:ind w:firstLine="480" w:firstLineChars="200"/>
        <w:rPr>
          <w:rFonts w:hint="eastAsia" w:ascii="黑体" w:hAnsi="宋体" w:eastAsia="黑体"/>
          <w:szCs w:val="21"/>
          <w:highlight w:val="none"/>
        </w:rPr>
      </w:pPr>
      <w:r>
        <w:rPr>
          <w:rFonts w:hint="eastAsia" w:ascii="宋体" w:hAnsi="宋体"/>
          <w:sz w:val="24"/>
          <w:highlight w:val="none"/>
        </w:rPr>
        <w:t>本方案由方圆标志认证集团有限公司负责解释。</w:t>
      </w:r>
    </w:p>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20B06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620" w:type="dxa"/>
          <w:tcBorders>
            <w:top w:val="thinThickSmallGap" w:color="002071" w:sz="18" w:space="0"/>
            <w:left w:val="nil"/>
            <w:bottom w:val="nil"/>
            <w:right w:val="nil"/>
          </w:tcBorders>
          <w:vAlign w:val="top"/>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3"/>
            <w:jc w:val="both"/>
          </w:pPr>
        </w:p>
        <w:p>
          <w:pPr>
            <w:pStyle w:val="13"/>
            <w:jc w:val="both"/>
            <w:rPr>
              <w:lang w:val="en-US" w:eastAsia="zh-CN"/>
            </w:rPr>
          </w:pPr>
          <w:r>
            <w:t>CQM/S-</w:t>
          </w:r>
          <w:r>
            <w:rPr>
              <w:rFonts w:hint="eastAsia"/>
              <w:lang w:eastAsia="zh-CN"/>
            </w:rPr>
            <w:t>FN-15-014</w:t>
          </w:r>
        </w:p>
        <w:p>
          <w:pPr>
            <w:pStyle w:val="13"/>
            <w:jc w:val="both"/>
          </w:pPr>
          <w:r>
            <w:rPr>
              <w:rFonts w:hint="eastAsia"/>
            </w:rPr>
            <w:t>20</w:t>
          </w:r>
          <w:r>
            <w:rPr>
              <w:rFonts w:hint="eastAsia"/>
              <w:lang w:val="en-US" w:eastAsia="zh-CN"/>
            </w:rPr>
            <w:t>20</w:t>
          </w:r>
          <w:r>
            <w:rPr>
              <w:rFonts w:hint="eastAsia"/>
            </w:rPr>
            <w:t>年01月</w:t>
          </w:r>
          <w:r>
            <w:rPr>
              <w:rFonts w:hint="eastAsia"/>
              <w:lang w:val="en-US" w:eastAsia="zh-CN"/>
            </w:rPr>
            <w:t>17</w:t>
          </w:r>
          <w:r>
            <w:rPr>
              <w:rFonts w:hint="eastAsia"/>
            </w:rPr>
            <w:t>日</w:t>
          </w:r>
        </w:p>
        <w:p>
          <w:pPr>
            <w:pStyle w:val="13"/>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24</w:t>
          </w:r>
          <w:r>
            <w:rPr>
              <w:rFonts w:hint="eastAsia"/>
            </w:rPr>
            <w:t>日</w:t>
          </w:r>
        </w:p>
        <w:p>
          <w:pPr>
            <w:pStyle w:val="13"/>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24</w:t>
          </w:r>
          <w:r>
            <w:rPr>
              <w:rFonts w:hint="eastAsia"/>
            </w:rPr>
            <w:t>日</w:t>
          </w:r>
        </w:p>
        <w:p>
          <w:pPr>
            <w:pStyle w:val="13"/>
            <w:jc w:val="both"/>
          </w:pPr>
          <w:r>
            <w:rPr>
              <w:rFonts w:hint="eastAsia"/>
            </w:rPr>
            <w:t xml:space="preserve">第 </w:t>
          </w:r>
          <w:r>
            <w:rPr>
              <w:rFonts w:hint="eastAsia"/>
              <w:lang w:val="en-US" w:eastAsia="zh-CN"/>
            </w:rPr>
            <w:t>2</w:t>
          </w:r>
          <w:r>
            <w:rPr>
              <w:rFonts w:hint="eastAsia"/>
            </w:rPr>
            <w:t xml:space="preserve"> </w:t>
          </w:r>
          <w:r>
            <w:rPr>
              <w:rStyle w:val="22"/>
              <w:rFonts w:hint="eastAsia"/>
            </w:rPr>
            <w:t xml:space="preserve">页  共 </w:t>
          </w:r>
          <w:r>
            <w:rPr>
              <w:rStyle w:val="22"/>
              <w:rFonts w:hint="eastAsia"/>
              <w:lang w:val="en-US" w:eastAsia="zh-CN"/>
            </w:rPr>
            <w:t>21</w:t>
          </w:r>
          <w:r>
            <w:rPr>
              <w:rStyle w:val="22"/>
              <w:rFonts w:hint="eastAsia"/>
            </w:rPr>
            <w:t>页</w:t>
          </w:r>
        </w:p>
      </w:tc>
    </w:tr>
  </w:tbl>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231" w:type="dxa"/>
          <w:tcBorders>
            <w:top w:val="thinThickSmallGap" w:color="002071" w:sz="18" w:space="0"/>
            <w:left w:val="nil"/>
            <w:bottom w:val="nil"/>
            <w:right w:val="nil"/>
          </w:tcBorders>
          <w:vAlign w:val="top"/>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3"/>
            <w:jc w:val="both"/>
          </w:pPr>
        </w:p>
        <w:p>
          <w:pPr>
            <w:pStyle w:val="13"/>
            <w:jc w:val="both"/>
            <w:rPr>
              <w:lang w:val="en-US" w:eastAsia="zh-CN"/>
            </w:rPr>
          </w:pPr>
          <w:r>
            <w:t>CQM/S-</w:t>
          </w:r>
          <w:r>
            <w:rPr>
              <w:rFonts w:hint="eastAsia"/>
              <w:lang w:eastAsia="zh-CN"/>
            </w:rPr>
            <w:t>FN-15-014</w:t>
          </w:r>
        </w:p>
        <w:p>
          <w:pPr>
            <w:pStyle w:val="13"/>
            <w:jc w:val="both"/>
            <w:rPr>
              <w:rFonts w:hint="eastAsia"/>
              <w:lang w:val="en-US" w:eastAsia="zh-CN"/>
            </w:rPr>
          </w:pPr>
          <w:r>
            <w:rPr>
              <w:rFonts w:hint="eastAsia"/>
            </w:rPr>
            <w:t>20</w:t>
          </w:r>
          <w:r>
            <w:rPr>
              <w:rFonts w:hint="eastAsia"/>
              <w:lang w:eastAsia="zh-CN"/>
            </w:rPr>
            <w:t>20</w:t>
          </w:r>
          <w:r>
            <w:rPr>
              <w:rFonts w:hint="eastAsia"/>
            </w:rPr>
            <w:t>年</w:t>
          </w:r>
          <w:r>
            <w:rPr>
              <w:rFonts w:hint="eastAsia"/>
              <w:lang w:val="en-US" w:eastAsia="zh-CN"/>
            </w:rPr>
            <w:t>0</w:t>
          </w:r>
          <w:r>
            <w:rPr>
              <w:rFonts w:hint="eastAsia"/>
              <w:lang w:eastAsia="zh-CN"/>
            </w:rPr>
            <w:t>1</w:t>
          </w:r>
          <w:r>
            <w:rPr>
              <w:rFonts w:hint="eastAsia"/>
            </w:rPr>
            <w:t>月</w:t>
          </w:r>
          <w:r>
            <w:rPr>
              <w:rFonts w:hint="eastAsia"/>
              <w:lang w:eastAsia="zh-CN"/>
            </w:rPr>
            <w:t>17</w:t>
          </w:r>
          <w:r>
            <w:rPr>
              <w:rFonts w:hint="eastAsia"/>
            </w:rPr>
            <w:t>日</w:t>
          </w:r>
        </w:p>
        <w:p>
          <w:pPr>
            <w:pStyle w:val="13"/>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24</w:t>
          </w:r>
          <w:r>
            <w:rPr>
              <w:rFonts w:hint="eastAsia"/>
            </w:rPr>
            <w:t>日</w:t>
          </w:r>
        </w:p>
        <w:p>
          <w:pPr>
            <w:pStyle w:val="13"/>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24</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3"/>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3"/>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4"/>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DC528"/>
    <w:multiLevelType w:val="multilevel"/>
    <w:tmpl w:val="923DC52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9D2B00B7"/>
    <w:multiLevelType w:val="multilevel"/>
    <w:tmpl w:val="9D2B00B7"/>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A9D40D7B"/>
    <w:multiLevelType w:val="multilevel"/>
    <w:tmpl w:val="A9D40D7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
    <w:nsid w:val="C2BF2F8C"/>
    <w:multiLevelType w:val="multilevel"/>
    <w:tmpl w:val="C2BF2F8C"/>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2A8EA69"/>
    <w:multiLevelType w:val="multilevel"/>
    <w:tmpl w:val="D2A8EA69"/>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5">
    <w:nsid w:val="F41899B0"/>
    <w:multiLevelType w:val="multilevel"/>
    <w:tmpl w:val="F41899B0"/>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6">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8">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9">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0">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1">
    <w:nsid w:val="231F7D2A"/>
    <w:multiLevelType w:val="multilevel"/>
    <w:tmpl w:val="231F7D2A"/>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2">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4">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6">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7">
    <w:nsid w:val="49160CC3"/>
    <w:multiLevelType w:val="multilevel"/>
    <w:tmpl w:val="49160CC3"/>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0">
    <w:nsid w:val="5F705C3D"/>
    <w:multiLevelType w:val="multilevel"/>
    <w:tmpl w:val="5F705C3D"/>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1">
    <w:nsid w:val="61C6F668"/>
    <w:multiLevelType w:val="multilevel"/>
    <w:tmpl w:val="61C6F66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4">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5">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6">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7">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8">
    <w:nsid w:val="7570494E"/>
    <w:multiLevelType w:val="multilevel"/>
    <w:tmpl w:val="7570494E"/>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6"/>
  </w:num>
  <w:num w:numId="2">
    <w:abstractNumId w:val="28"/>
  </w:num>
  <w:num w:numId="3">
    <w:abstractNumId w:val="1"/>
  </w:num>
  <w:num w:numId="4">
    <w:abstractNumId w:val="0"/>
  </w:num>
  <w:num w:numId="5">
    <w:abstractNumId w:val="21"/>
  </w:num>
  <w:num w:numId="6">
    <w:abstractNumId w:val="3"/>
  </w:num>
  <w:num w:numId="7">
    <w:abstractNumId w:val="17"/>
  </w:num>
  <w:num w:numId="8">
    <w:abstractNumId w:val="16"/>
  </w:num>
  <w:num w:numId="9">
    <w:abstractNumId w:val="23"/>
  </w:num>
  <w:num w:numId="10">
    <w:abstractNumId w:val="22"/>
  </w:num>
  <w:num w:numId="11">
    <w:abstractNumId w:val="26"/>
  </w:num>
  <w:num w:numId="12">
    <w:abstractNumId w:val="19"/>
  </w:num>
  <w:num w:numId="13">
    <w:abstractNumId w:val="10"/>
  </w:num>
  <w:num w:numId="14">
    <w:abstractNumId w:val="8"/>
  </w:num>
  <w:num w:numId="15">
    <w:abstractNumId w:val="27"/>
  </w:num>
  <w:num w:numId="16">
    <w:abstractNumId w:val="15"/>
  </w:num>
  <w:num w:numId="17">
    <w:abstractNumId w:val="12"/>
  </w:num>
  <w:num w:numId="18">
    <w:abstractNumId w:val="7"/>
  </w:num>
  <w:num w:numId="19">
    <w:abstractNumId w:val="25"/>
  </w:num>
  <w:num w:numId="20">
    <w:abstractNumId w:val="9"/>
  </w:num>
  <w:num w:numId="21">
    <w:abstractNumId w:val="24"/>
  </w:num>
  <w:num w:numId="22">
    <w:abstractNumId w:val="11"/>
  </w:num>
  <w:num w:numId="23">
    <w:abstractNumId w:val="2"/>
  </w:num>
  <w:num w:numId="24">
    <w:abstractNumId w:val="29"/>
  </w:num>
  <w:num w:numId="25">
    <w:abstractNumId w:val="20"/>
  </w:num>
  <w:num w:numId="26">
    <w:abstractNumId w:val="13"/>
  </w:num>
  <w:num w:numId="27">
    <w:abstractNumId w:val="5"/>
  </w:num>
  <w:num w:numId="28">
    <w:abstractNumId w:val="4"/>
  </w:num>
  <w:num w:numId="29">
    <w:abstractNumId w:val="14"/>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attachedTemplate r:id="rId1"/>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0cd39bfc-a49b-433e-a621-af1a4b5ea612"/>
  </w:docVars>
  <w:rsids>
    <w:rsidRoot w:val="007A6EDA"/>
    <w:rsid w:val="00044602"/>
    <w:rsid w:val="000813AC"/>
    <w:rsid w:val="000843E4"/>
    <w:rsid w:val="000906CB"/>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1A554C5"/>
    <w:rsid w:val="06624721"/>
    <w:rsid w:val="066E2140"/>
    <w:rsid w:val="06893AAA"/>
    <w:rsid w:val="078C29F9"/>
    <w:rsid w:val="08514A4D"/>
    <w:rsid w:val="0A701D39"/>
    <w:rsid w:val="0AB65C89"/>
    <w:rsid w:val="0AEA0988"/>
    <w:rsid w:val="0C0C1DAF"/>
    <w:rsid w:val="0C9F0EFB"/>
    <w:rsid w:val="0D466B4A"/>
    <w:rsid w:val="0F013925"/>
    <w:rsid w:val="0F2E3D3A"/>
    <w:rsid w:val="10367673"/>
    <w:rsid w:val="120C3966"/>
    <w:rsid w:val="133E2072"/>
    <w:rsid w:val="14587163"/>
    <w:rsid w:val="151A2CED"/>
    <w:rsid w:val="19CF1C75"/>
    <w:rsid w:val="1F1E48D5"/>
    <w:rsid w:val="20DA787E"/>
    <w:rsid w:val="221B63A0"/>
    <w:rsid w:val="23264FFC"/>
    <w:rsid w:val="256064CA"/>
    <w:rsid w:val="28921548"/>
    <w:rsid w:val="30CF151F"/>
    <w:rsid w:val="316F614C"/>
    <w:rsid w:val="31B84CDF"/>
    <w:rsid w:val="31C205E6"/>
    <w:rsid w:val="31E50B45"/>
    <w:rsid w:val="34070D19"/>
    <w:rsid w:val="378D7F8F"/>
    <w:rsid w:val="3B8E778B"/>
    <w:rsid w:val="3ED85FD6"/>
    <w:rsid w:val="3EF23B8C"/>
    <w:rsid w:val="42E5074D"/>
    <w:rsid w:val="44314A28"/>
    <w:rsid w:val="470812BE"/>
    <w:rsid w:val="481334F1"/>
    <w:rsid w:val="4913489C"/>
    <w:rsid w:val="4BE8259F"/>
    <w:rsid w:val="4C760506"/>
    <w:rsid w:val="4C7A4E11"/>
    <w:rsid w:val="50450D09"/>
    <w:rsid w:val="51CF0A1D"/>
    <w:rsid w:val="52CA29FF"/>
    <w:rsid w:val="5363025D"/>
    <w:rsid w:val="541E1033"/>
    <w:rsid w:val="58F70B83"/>
    <w:rsid w:val="5AD3266C"/>
    <w:rsid w:val="5B567260"/>
    <w:rsid w:val="5C0A0C51"/>
    <w:rsid w:val="5D0B07E3"/>
    <w:rsid w:val="5DB54B73"/>
    <w:rsid w:val="5EF4302F"/>
    <w:rsid w:val="600808E3"/>
    <w:rsid w:val="61095CDB"/>
    <w:rsid w:val="6151253D"/>
    <w:rsid w:val="671604B0"/>
    <w:rsid w:val="682B65E9"/>
    <w:rsid w:val="6BF82D5E"/>
    <w:rsid w:val="6DF9276C"/>
    <w:rsid w:val="6E164552"/>
    <w:rsid w:val="74161AF0"/>
    <w:rsid w:val="74B4085B"/>
    <w:rsid w:val="76C447BE"/>
    <w:rsid w:val="78210102"/>
    <w:rsid w:val="7A23541B"/>
    <w:rsid w:val="7FA849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annotation text"/>
    <w:basedOn w:val="1"/>
    <w:semiHidden/>
    <w:unhideWhenUsed/>
    <w:qFormat/>
    <w:uiPriority w:val="0"/>
    <w:pPr>
      <w:jc w:val="left"/>
    </w:pPr>
  </w:style>
  <w:style w:type="paragraph" w:styleId="8">
    <w:name w:val="Body Text"/>
    <w:basedOn w:val="1"/>
    <w:qFormat/>
    <w:uiPriority w:val="0"/>
    <w:pPr>
      <w:spacing w:after="120"/>
    </w:pPr>
  </w:style>
  <w:style w:type="paragraph" w:styleId="9">
    <w:name w:val="Body Text Indent"/>
    <w:basedOn w:val="1"/>
    <w:qFormat/>
    <w:uiPriority w:val="0"/>
    <w:pPr>
      <w:widowControl/>
      <w:ind w:firstLine="560" w:firstLineChars="200"/>
      <w:jc w:val="left"/>
    </w:pPr>
    <w:rPr>
      <w:rFonts w:ascii="宋体" w:hAnsi="宋体"/>
      <w:color w:val="000000"/>
      <w:sz w:val="28"/>
      <w:szCs w:val="33"/>
    </w:rPr>
  </w:style>
  <w:style w:type="paragraph" w:styleId="10">
    <w:name w:val="List 2"/>
    <w:basedOn w:val="1"/>
    <w:qFormat/>
    <w:uiPriority w:val="0"/>
    <w:pPr>
      <w:ind w:left="100" w:leftChars="200" w:hanging="200" w:hangingChars="2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4"/>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6">
    <w:name w:val="Body Text Indent 3"/>
    <w:basedOn w:val="1"/>
    <w:qFormat/>
    <w:uiPriority w:val="0"/>
    <w:pPr>
      <w:spacing w:after="120"/>
      <w:ind w:left="420" w:leftChars="200"/>
    </w:pPr>
    <w:rPr>
      <w:sz w:val="16"/>
      <w:szCs w:val="16"/>
    </w:rPr>
  </w:style>
  <w:style w:type="paragraph" w:styleId="17">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8">
    <w:name w:val="Body Text 2"/>
    <w:basedOn w:val="1"/>
    <w:qFormat/>
    <w:uiPriority w:val="0"/>
    <w:pPr>
      <w:spacing w:after="120" w:line="480" w:lineRule="auto"/>
    </w:pPr>
  </w:style>
  <w:style w:type="paragraph" w:styleId="19">
    <w:name w:val="Title"/>
    <w:basedOn w:val="1"/>
    <w:next w:val="1"/>
    <w:qFormat/>
    <w:uiPriority w:val="0"/>
    <w:pPr>
      <w:spacing w:before="240" w:after="60"/>
      <w:jc w:val="center"/>
      <w:outlineLvl w:val="0"/>
    </w:pPr>
    <w:rPr>
      <w:rFonts w:ascii="Cambria" w:hAnsi="Cambria"/>
      <w:b/>
      <w:bCs/>
      <w:sz w:val="32"/>
      <w:szCs w:val="32"/>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customStyle="1" w:styleId="24">
    <w:name w:val="批注框文本 Char"/>
    <w:basedOn w:val="21"/>
    <w:link w:val="12"/>
    <w:qFormat/>
    <w:uiPriority w:val="0"/>
    <w:rPr>
      <w:kern w:val="2"/>
      <w:sz w:val="18"/>
      <w:szCs w:val="18"/>
    </w:rPr>
  </w:style>
  <w:style w:type="paragraph" w:customStyle="1" w:styleId="25">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6">
    <w:name w:val="二级条标题"/>
    <w:basedOn w:val="27"/>
    <w:next w:val="1"/>
    <w:qFormat/>
    <w:uiPriority w:val="0"/>
    <w:pPr>
      <w:outlineLvl w:val="3"/>
    </w:pPr>
  </w:style>
  <w:style w:type="paragraph" w:customStyle="1" w:styleId="27">
    <w:name w:val="一级条标题"/>
    <w:next w:val="28"/>
    <w:qFormat/>
    <w:uiPriority w:val="0"/>
    <w:pPr>
      <w:outlineLvl w:val="2"/>
    </w:pPr>
    <w:rPr>
      <w:rFonts w:ascii="Times New Roman" w:hAnsi="Times New Roman" w:eastAsia="黑体" w:cs="Times New Roman"/>
      <w:sz w:val="21"/>
      <w:lang w:val="en-US" w:eastAsia="zh-CN" w:bidi="ar-SA"/>
    </w:rPr>
  </w:style>
  <w:style w:type="paragraph" w:customStyle="1" w:styleId="28">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22</Pages>
  <Words>12339</Words>
  <Characters>13101</Characters>
  <Lines>5</Lines>
  <Paragraphs>1</Paragraphs>
  <TotalTime>1</TotalTime>
  <ScaleCrop>false</ScaleCrop>
  <LinksUpToDate>false</LinksUpToDate>
  <CharactersWithSpaces>13352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2025-09-11T12:07:21Z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5BA6538A3632493296257DC07DF0F529_13</vt:lpwstr>
  </property>
  <property fmtid="{D5CDD505-2E9C-101B-9397-08002B2CF9AE}" pid="4" name="KSOTemplateDocerSaveRecord">
    <vt:lpwstr>eyJoZGlkIjoiMzJjYzVlOWQ4MmM2MThmMWQ1M2NmOWE2MDA1ZWYzYWEiLCJ1c2VySWQiOiIzMzIxNDI1OTEifQ==</vt:lpwstr>
  </property>
</Properties>
</file>