
<file path=[Content_Types].xml><?xml version="1.0" encoding="utf-8"?>
<Types xmlns="http://schemas.openxmlformats.org/package/2006/content-types">
  <Default Extension="xml" ContentType="application/xml"/>
  <Default Extension="bin" ContentType="application/vnd.openxmlformats-officedocument.oleObject"/>
  <Default Extension="png" ContentType="image/png"/>
  <Default Extension="jpeg" ContentType="image/jpeg"/>
  <Default Extension="wmf" ContentType="image/x-wmf"/>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line="360" w:lineRule="auto"/>
        <w:rPr>
          <w:highlight w:val="none"/>
        </w:rPr>
      </w:pPr>
      <w:bookmarkStart w:id="136" w:name="_GoBack"/>
    </w:p>
    <w:p>
      <w:pPr>
        <w:spacing w:line="360" w:lineRule="auto"/>
        <w:jc w:val="left"/>
        <w:rPr>
          <w:highlight w:val="none"/>
        </w:rPr>
      </w:pPr>
    </w:p>
    <w:p>
      <w:pPr>
        <w:spacing w:line="360" w:lineRule="auto"/>
        <w:rPr>
          <w:highlight w:val="none"/>
        </w:rPr>
      </w:pPr>
    </w:p>
    <w:p>
      <w:pPr>
        <w:spacing w:line="360" w:lineRule="auto"/>
        <w:rPr>
          <w:highlight w:val="none"/>
        </w:rPr>
      </w:pPr>
    </w:p>
    <w:p>
      <w:pPr>
        <w:spacing w:line="360" w:lineRule="auto"/>
        <w:rPr>
          <w:highlight w:val="none"/>
        </w:rPr>
      </w:pPr>
      <w:r>
        <w:rPr>
          <w:rFonts w:ascii="黑体" w:hAnsi="宋体" w:eastAsia="黑体"/>
          <w:szCs w:val="21"/>
          <w:highlight w:val="none"/>
        </w:rPr>
        <mc:AlternateContent>
          <mc:Choice Requires="wps">
            <w:drawing>
              <wp:anchor distT="0" distB="0" distL="114300" distR="114300" simplePos="0" relativeHeight="251664384" behindDoc="0" locked="0" layoutInCell="1" allowOverlap="1">
                <wp:simplePos x="0" y="0"/>
                <wp:positionH relativeFrom="column">
                  <wp:posOffset>454025</wp:posOffset>
                </wp:positionH>
                <wp:positionV relativeFrom="paragraph">
                  <wp:posOffset>111760</wp:posOffset>
                </wp:positionV>
                <wp:extent cx="5128260" cy="1631950"/>
                <wp:effectExtent l="0" t="0" r="0" b="0"/>
                <wp:wrapNone/>
                <wp:docPr id="9" name="Text Box 4"/>
                <wp:cNvGraphicFramePr/>
                <a:graphic xmlns:a="http://schemas.openxmlformats.org/drawingml/2006/main">
                  <a:graphicData uri="http://schemas.microsoft.com/office/word/2010/wordprocessingShape">
                    <wps:wsp>
                      <wps:cNvSpPr txBox="true">
                        <a:spLocks noChangeArrowheads="true"/>
                      </wps:cNvSpPr>
                      <wps:spPr bwMode="auto">
                        <a:xfrm>
                          <a:off x="0" y="0"/>
                          <a:ext cx="4312920" cy="792480"/>
                        </a:xfrm>
                        <a:prstGeom prst="rect">
                          <a:avLst/>
                        </a:prstGeom>
                        <a:noFill/>
                        <a:ln>
                          <a:noFill/>
                        </a:ln>
                        <a:effectLst/>
                      </wps:spPr>
                      <wps:txbx>
                        <w:txbxContent>
                          <w:p>
                            <w:pPr>
                              <w:jc w:val="center"/>
                              <w:rPr>
                                <w:rFonts w:ascii="黑体" w:eastAsia="黑体"/>
                                <w:color w:val="002071"/>
                                <w:sz w:val="52"/>
                                <w:szCs w:val="52"/>
                              </w:rPr>
                            </w:pPr>
                            <w:r>
                              <w:rPr>
                                <w:rFonts w:hint="eastAsia" w:ascii="黑体" w:eastAsia="黑体"/>
                                <w:color w:val="002071"/>
                                <w:sz w:val="52"/>
                                <w:szCs w:val="52"/>
                              </w:rPr>
                              <w:t>健康、安全与环境管理体系</w:t>
                            </w:r>
                          </w:p>
                          <w:p>
                            <w:pPr>
                              <w:jc w:val="center"/>
                              <w:rPr>
                                <w:rFonts w:ascii="黑体" w:eastAsia="黑体"/>
                                <w:color w:val="002071"/>
                                <w:sz w:val="52"/>
                                <w:szCs w:val="52"/>
                              </w:rPr>
                            </w:pPr>
                            <w:r>
                              <w:rPr>
                                <w:rFonts w:hint="eastAsia" w:ascii="黑体" w:eastAsia="黑体"/>
                                <w:color w:val="002071"/>
                                <w:sz w:val="52"/>
                                <w:szCs w:val="52"/>
                              </w:rPr>
                              <w:t>认证实施方案</w:t>
                            </w:r>
                          </w:p>
                          <w:p>
                            <w:pPr>
                              <w:pStyle w:val="18"/>
                              <w:spacing w:before="0" w:after="0"/>
                              <w:rPr>
                                <w:rFonts w:ascii="黑体" w:hAnsi="Times New Roman" w:eastAsia="黑体"/>
                                <w:b w:val="0"/>
                                <w:bCs w:val="0"/>
                                <w:color w:val="002071"/>
                                <w:sz w:val="52"/>
                                <w:szCs w:val="52"/>
                              </w:rPr>
                            </w:pPr>
                          </w:p>
                          <w:p>
                            <w:pPr>
                              <w:pStyle w:val="6"/>
                              <w:rPr>
                                <w:color w:val="002071"/>
                                <w:sz w:val="52"/>
                                <w:szCs w:val="52"/>
                              </w:rPr>
                            </w:pPr>
                          </w:p>
                        </w:txbxContent>
                      </wps:txbx>
                      <wps:bodyPr rot="0" vert="horz" wrap="square" lIns="0" tIns="144000" rIns="0" bIns="82800" anchor="t" anchorCtr="false" upright="true">
                        <a:noAutofit/>
                      </wps:bodyPr>
                    </wps:wsp>
                  </a:graphicData>
                </a:graphic>
              </wp:anchor>
            </w:drawing>
          </mc:Choice>
          <mc:Fallback>
            <w:pict>
              <v:shape id="Text Box 4" o:spid="_x0000_s1026" o:spt="202" type="#_x0000_t202" style="position:absolute;left:0pt;margin-left:35.75pt;margin-top:8.8pt;height:128.5pt;width:403.8pt;z-index:251664384;mso-width-relative:page;mso-height-relative:page;" filled="f" stroked="f" coordsize="21600,21600" o:gfxdata="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">
                <v:fill on="f" focussize="0,0"/>
                <v:stroke on="f"/>
                <v:imagedata o:title=""/>
                <o:lock v:ext="edit" aspectratio="f"/>
                <v:textbox inset="0mm,4mm,0mm,2.3mm">
                  <w:txbxContent>
                    <w:p>
                      <w:pPr>
                        <w:jc w:val="center"/>
                        <w:rPr>
                          <w:rFonts w:ascii="黑体" w:eastAsia="黑体"/>
                          <w:color w:val="002071"/>
                          <w:sz w:val="52"/>
                          <w:szCs w:val="52"/>
                        </w:rPr>
                      </w:pPr>
                      <w:r>
                        <w:rPr>
                          <w:rFonts w:hint="eastAsia" w:ascii="黑体" w:eastAsia="黑体"/>
                          <w:color w:val="002071"/>
                          <w:sz w:val="52"/>
                          <w:szCs w:val="52"/>
                        </w:rPr>
                        <w:t>健康、安全与环境管理体系</w:t>
                      </w:r>
                    </w:p>
                    <w:p>
                      <w:pPr>
                        <w:jc w:val="center"/>
                        <w:rPr>
                          <w:rFonts w:ascii="黑体" w:eastAsia="黑体"/>
                          <w:color w:val="002071"/>
                          <w:sz w:val="52"/>
                          <w:szCs w:val="52"/>
                        </w:rPr>
                      </w:pPr>
                      <w:r>
                        <w:rPr>
                          <w:rFonts w:hint="eastAsia" w:ascii="黑体" w:eastAsia="黑体"/>
                          <w:color w:val="002071"/>
                          <w:sz w:val="52"/>
                          <w:szCs w:val="52"/>
                        </w:rPr>
                        <w:t>认证实施方案</w:t>
                      </w:r>
                    </w:p>
                    <w:p>
                      <w:pPr>
                        <w:pStyle w:val="18"/>
                        <w:spacing w:before="0" w:after="0"/>
                        <w:rPr>
                          <w:rFonts w:ascii="黑体" w:hAnsi="Times New Roman" w:eastAsia="黑体"/>
                          <w:b w:val="0"/>
                          <w:bCs w:val="0"/>
                          <w:color w:val="002071"/>
                          <w:sz w:val="52"/>
                          <w:szCs w:val="52"/>
                        </w:rPr>
                      </w:pPr>
                    </w:p>
                    <w:p>
                      <w:pPr>
                        <w:pStyle w:val="6"/>
                        <w:rPr>
                          <w:color w:val="002071"/>
                          <w:sz w:val="52"/>
                          <w:szCs w:val="52"/>
                        </w:rPr>
                      </w:pPr>
                    </w:p>
                  </w:txbxContent>
                </v:textbox>
              </v:shape>
            </w:pict>
          </mc:Fallback>
        </mc:AlternateContent>
      </w:r>
    </w:p>
    <w:p>
      <w:pPr>
        <w:spacing w:line="360" w:lineRule="auto"/>
        <w:rPr>
          <w:rFonts w:hint="eastAsia" w:ascii="黑体" w:hAnsi="宋体" w:eastAsia="黑体"/>
          <w:szCs w:val="21"/>
          <w:highlight w:val="none"/>
        </w:rPr>
      </w:pPr>
    </w:p>
    <w:p>
      <w:pPr>
        <w:spacing w:line="360" w:lineRule="auto"/>
        <w:rPr>
          <w:rFonts w:hint="eastAsia" w:ascii="黑体" w:hAnsi="宋体" w:eastAsia="黑体"/>
          <w:szCs w:val="21"/>
          <w:highlight w:val="none"/>
        </w:rPr>
      </w:pPr>
    </w:p>
    <w:p>
      <w:pPr>
        <w:spacing w:line="360" w:lineRule="auto"/>
        <w:rPr>
          <w:rFonts w:hint="eastAsia" w:ascii="黑体" w:hAnsi="宋体" w:eastAsia="黑体"/>
          <w:szCs w:val="21"/>
          <w:highlight w:val="none"/>
        </w:rPr>
      </w:pPr>
    </w:p>
    <w:p>
      <w:pPr>
        <w:spacing w:line="360" w:lineRule="auto"/>
        <w:rPr>
          <w:rFonts w:hint="eastAsia" w:ascii="黑体" w:hAnsi="宋体" w:eastAsia="黑体"/>
          <w:szCs w:val="21"/>
          <w:highlight w:val="none"/>
        </w:rPr>
      </w:pPr>
    </w:p>
    <w:p>
      <w:pPr>
        <w:spacing w:line="360" w:lineRule="auto"/>
        <w:rPr>
          <w:rFonts w:hint="eastAsia" w:ascii="黑体" w:hAnsi="宋体" w:eastAsia="黑体"/>
          <w:szCs w:val="21"/>
          <w:highlight w:val="none"/>
        </w:rPr>
      </w:pPr>
    </w:p>
    <w:p>
      <w:pPr>
        <w:spacing w:line="360" w:lineRule="auto"/>
        <w:rPr>
          <w:rFonts w:hint="eastAsia" w:ascii="黑体" w:hAnsi="宋体" w:eastAsia="黑体"/>
          <w:szCs w:val="21"/>
          <w:highlight w:val="none"/>
        </w:rPr>
      </w:pPr>
    </w:p>
    <w:tbl>
      <w:tblPr>
        <w:tblStyle w:val="19"/>
        <w:tblpPr w:leftFromText="180" w:rightFromText="180" w:vertAnchor="text" w:horzAnchor="page" w:tblpX="3188" w:tblpY="79"/>
        <w:tblOverlap w:val="never"/>
        <w:tblW w:w="0" w:type="auto"/>
        <w:tblInd w:w="0" w:type="dxa"/>
        <w:tblLayout w:type="autofit"/>
        <w:tblCellMar>
          <w:top w:w="0" w:type="dxa"/>
          <w:left w:w="108" w:type="dxa"/>
          <w:bottom w:w="0" w:type="dxa"/>
          <w:right w:w="108" w:type="dxa"/>
        </w:tblCellMar>
      </w:tblPr>
      <w:tblGrid>
        <w:gridCol w:w="1846"/>
        <w:gridCol w:w="4249"/>
      </w:tblGrid>
      <w:tr>
        <w:tblPrEx>
          <w:tblCellMar>
            <w:top w:w="0" w:type="dxa"/>
            <w:left w:w="108" w:type="dxa"/>
            <w:bottom w:w="0" w:type="dxa"/>
            <w:right w:w="108" w:type="dxa"/>
          </w:tblCellMar>
        </w:tblPrEx>
        <w:trPr>
          <w:trHeight w:val="135" w:hRule="atLeast"/>
        </w:trPr>
        <w:tc>
          <w:tcPr>
            <w:tcW w:w="1846" w:type="dxa"/>
            <w:vAlign w:val="center"/>
          </w:tcPr>
          <w:p>
            <w:pPr>
              <w:rPr>
                <w:rFonts w:hint="eastAsia" w:ascii="隶书" w:hAnsi="思源黑体 CN Medium" w:eastAsia="隶书" w:cs="思源黑体 CN Medium"/>
                <w:color w:val="002071"/>
                <w:sz w:val="30"/>
                <w:highlight w:val="none"/>
              </w:rPr>
            </w:pPr>
            <w:r>
              <w:rPr>
                <w:rFonts w:hint="eastAsia" w:ascii="隶书" w:hAnsi="思源黑体 CN Medium" w:eastAsia="隶书" w:cs="思源黑体 CN Medium"/>
                <w:color w:val="002071"/>
                <w:sz w:val="30"/>
                <w:highlight w:val="none"/>
              </w:rPr>
              <w:t>文件编号：</w:t>
            </w:r>
          </w:p>
        </w:tc>
        <w:tc>
          <w:tcPr>
            <w:tcW w:w="4249" w:type="dxa"/>
            <w:vAlign w:val="center"/>
          </w:tcPr>
          <w:p>
            <w:pPr>
              <w:ind w:firstLine="280" w:firstLineChars="100"/>
              <w:rPr>
                <w:rFonts w:hint="eastAsia" w:ascii="隶书" w:hAnsi="思源黑体 CN Medium" w:eastAsia="隶书" w:cs="思源黑体 CN Medium"/>
                <w:color w:val="002071"/>
                <w:sz w:val="28"/>
                <w:szCs w:val="15"/>
                <w:highlight w:val="none"/>
              </w:rPr>
            </w:pPr>
            <w:r>
              <w:rPr>
                <w:rFonts w:hint="eastAsia" w:ascii="隶书" w:hAnsi="思源黑体 CN Medium" w:eastAsia="隶书" w:cs="思源黑体 CN Medium"/>
                <w:color w:val="002071"/>
                <w:sz w:val="28"/>
                <w:szCs w:val="15"/>
                <w:highlight w:val="none"/>
              </w:rPr>
              <w:t>CQM/S-FN-12-011</w:t>
            </w:r>
          </w:p>
        </w:tc>
      </w:tr>
      <w:tr>
        <w:tblPrEx>
          <w:tblCellMar>
            <w:top w:w="0" w:type="dxa"/>
            <w:left w:w="108" w:type="dxa"/>
            <w:bottom w:w="0" w:type="dxa"/>
            <w:right w:w="108" w:type="dxa"/>
          </w:tblCellMar>
        </w:tblPrEx>
        <w:trPr>
          <w:trHeight w:val="135" w:hRule="atLeast"/>
        </w:trPr>
        <w:tc>
          <w:tcPr>
            <w:tcW w:w="1846" w:type="dxa"/>
            <w:vAlign w:val="center"/>
          </w:tcPr>
          <w:p>
            <w:pPr>
              <w:rPr>
                <w:rFonts w:hint="eastAsia" w:ascii="隶书" w:hAnsi="思源黑体 CN Medium" w:eastAsia="隶书" w:cs="思源黑体 CN Medium"/>
                <w:color w:val="002071"/>
                <w:sz w:val="30"/>
                <w:highlight w:val="none"/>
              </w:rPr>
            </w:pPr>
            <w:r>
              <w:rPr>
                <w:rFonts w:hint="eastAsia" w:ascii="隶书" w:hAnsi="思源黑体 CN Medium" w:eastAsia="隶书" w:cs="思源黑体 CN Medium"/>
                <w:color w:val="002071"/>
                <w:sz w:val="30"/>
                <w:highlight w:val="none"/>
              </w:rPr>
              <w:t>发布日期：</w:t>
            </w:r>
          </w:p>
        </w:tc>
        <w:tc>
          <w:tcPr>
            <w:tcW w:w="4249" w:type="dxa"/>
            <w:vAlign w:val="center"/>
          </w:tcPr>
          <w:p>
            <w:pPr>
              <w:ind w:firstLine="280" w:firstLineChars="100"/>
              <w:rPr>
                <w:rFonts w:hint="eastAsia" w:ascii="隶书" w:hAnsi="思源黑体 CN Medium" w:eastAsia="隶书" w:cs="思源黑体 CN Medium"/>
                <w:color w:val="002071"/>
                <w:sz w:val="28"/>
                <w:szCs w:val="15"/>
                <w:highlight w:val="none"/>
              </w:rPr>
            </w:pPr>
            <w:r>
              <w:rPr>
                <w:rFonts w:hint="eastAsia" w:ascii="隶书" w:hAnsi="思源黑体 CN Medium" w:eastAsia="隶书" w:cs="思源黑体 CN Medium"/>
                <w:color w:val="002071"/>
                <w:sz w:val="28"/>
                <w:szCs w:val="15"/>
                <w:highlight w:val="none"/>
              </w:rPr>
              <w:t>2018年11月15日</w:t>
            </w:r>
          </w:p>
        </w:tc>
      </w:tr>
      <w:tr>
        <w:tblPrEx>
          <w:tblCellMar>
            <w:top w:w="0" w:type="dxa"/>
            <w:left w:w="108" w:type="dxa"/>
            <w:bottom w:w="0" w:type="dxa"/>
            <w:right w:w="108" w:type="dxa"/>
          </w:tblCellMar>
        </w:tblPrEx>
        <w:trPr>
          <w:trHeight w:val="135" w:hRule="atLeast"/>
        </w:trPr>
        <w:tc>
          <w:tcPr>
            <w:tcW w:w="1846" w:type="dxa"/>
            <w:vAlign w:val="center"/>
          </w:tcPr>
          <w:p>
            <w:pPr>
              <w:rPr>
                <w:rFonts w:hint="eastAsia" w:ascii="隶书" w:hAnsi="思源黑体 CN Medium" w:eastAsia="隶书" w:cs="思源黑体 CN Medium"/>
                <w:color w:val="002071"/>
                <w:sz w:val="30"/>
                <w:highlight w:val="none"/>
              </w:rPr>
            </w:pPr>
            <w:r>
              <w:rPr>
                <w:rFonts w:hint="eastAsia" w:ascii="隶书" w:hAnsi="思源黑体 CN Medium" w:eastAsia="隶书" w:cs="思源黑体 CN Medium"/>
                <w:color w:val="002071"/>
                <w:sz w:val="30"/>
                <w:highlight w:val="none"/>
              </w:rPr>
              <w:t>修订日期：</w:t>
            </w:r>
          </w:p>
        </w:tc>
        <w:tc>
          <w:tcPr>
            <w:tcW w:w="4249" w:type="dxa"/>
            <w:vAlign w:val="center"/>
          </w:tcPr>
          <w:p>
            <w:pPr>
              <w:ind w:firstLine="280" w:firstLineChars="100"/>
              <w:rPr>
                <w:rFonts w:hint="eastAsia" w:ascii="隶书" w:hAnsi="思源黑体 CN Medium" w:eastAsia="隶书" w:cs="思源黑体 CN Medium"/>
                <w:color w:val="002071"/>
                <w:sz w:val="28"/>
                <w:szCs w:val="15"/>
                <w:highlight w:val="none"/>
              </w:rPr>
            </w:pPr>
            <w:r>
              <w:rPr>
                <w:rFonts w:hint="eastAsia" w:ascii="隶书" w:hAnsi="思源黑体 CN Medium" w:eastAsia="隶书" w:cs="思源黑体 CN Medium"/>
                <w:color w:val="002071"/>
                <w:sz w:val="28"/>
                <w:szCs w:val="15"/>
                <w:highlight w:val="none"/>
              </w:rPr>
              <w:t>2</w:t>
            </w:r>
            <w:r>
              <w:rPr>
                <w:rFonts w:hint="eastAsia" w:ascii="隶书" w:hAnsi="思源黑体 CN Medium" w:eastAsia="隶书" w:cs="思源黑体 CN Medium"/>
                <w:color w:val="002071"/>
                <w:sz w:val="28"/>
                <w:szCs w:val="15"/>
                <w:highlight w:val="none"/>
                <w:lang w:val="en-US" w:eastAsia="zh-CN"/>
              </w:rPr>
              <w:t>025</w:t>
            </w:r>
            <w:r>
              <w:rPr>
                <w:rFonts w:hint="eastAsia" w:ascii="隶书" w:hAnsi="思源黑体 CN Medium" w:eastAsia="隶书" w:cs="思源黑体 CN Medium"/>
                <w:color w:val="002071"/>
                <w:sz w:val="28"/>
                <w:szCs w:val="15"/>
                <w:highlight w:val="none"/>
              </w:rPr>
              <w:t>年</w:t>
            </w:r>
            <w:r>
              <w:rPr>
                <w:rFonts w:hint="eastAsia" w:ascii="隶书" w:hAnsi="思源黑体 CN Medium" w:eastAsia="隶书" w:cs="思源黑体 CN Medium"/>
                <w:color w:val="002071"/>
                <w:sz w:val="28"/>
                <w:szCs w:val="15"/>
                <w:highlight w:val="none"/>
                <w:lang w:val="en-US" w:eastAsia="zh-CN"/>
              </w:rPr>
              <w:t>06</w:t>
            </w:r>
            <w:r>
              <w:rPr>
                <w:rFonts w:hint="eastAsia" w:ascii="隶书" w:hAnsi="思源黑体 CN Medium" w:eastAsia="隶书" w:cs="思源黑体 CN Medium"/>
                <w:color w:val="002071"/>
                <w:sz w:val="28"/>
                <w:szCs w:val="15"/>
                <w:highlight w:val="none"/>
              </w:rPr>
              <w:t>月</w:t>
            </w:r>
            <w:r>
              <w:rPr>
                <w:rFonts w:hint="eastAsia" w:ascii="隶书" w:hAnsi="思源黑体 CN Medium" w:eastAsia="隶书" w:cs="思源黑体 CN Medium"/>
                <w:color w:val="002071"/>
                <w:sz w:val="28"/>
                <w:szCs w:val="15"/>
                <w:highlight w:val="none"/>
                <w:lang w:val="en-US" w:eastAsia="zh-CN"/>
              </w:rPr>
              <w:t>13</w:t>
            </w:r>
            <w:r>
              <w:rPr>
                <w:rFonts w:hint="eastAsia" w:ascii="隶书" w:hAnsi="思源黑体 CN Medium" w:eastAsia="隶书" w:cs="思源黑体 CN Medium"/>
                <w:color w:val="002071"/>
                <w:sz w:val="28"/>
                <w:szCs w:val="15"/>
                <w:highlight w:val="none"/>
              </w:rPr>
              <w:t>日</w:t>
            </w:r>
          </w:p>
        </w:tc>
      </w:tr>
      <w:tr>
        <w:tblPrEx>
          <w:tblCellMar>
            <w:top w:w="0" w:type="dxa"/>
            <w:left w:w="108" w:type="dxa"/>
            <w:bottom w:w="0" w:type="dxa"/>
            <w:right w:w="108" w:type="dxa"/>
          </w:tblCellMar>
        </w:tblPrEx>
        <w:trPr>
          <w:trHeight w:val="135" w:hRule="atLeast"/>
        </w:trPr>
        <w:tc>
          <w:tcPr>
            <w:tcW w:w="1846" w:type="dxa"/>
            <w:vAlign w:val="center"/>
          </w:tcPr>
          <w:p>
            <w:pPr>
              <w:rPr>
                <w:rFonts w:hint="eastAsia" w:ascii="隶书" w:hAnsi="思源黑体 CN Medium" w:eastAsia="隶书" w:cs="思源黑体 CN Medium"/>
                <w:color w:val="002071"/>
                <w:sz w:val="30"/>
                <w:highlight w:val="none"/>
              </w:rPr>
            </w:pPr>
            <w:r>
              <w:rPr>
                <w:rFonts w:hint="eastAsia" w:ascii="隶书" w:hAnsi="思源黑体 CN Medium" w:eastAsia="隶书" w:cs="思源黑体 CN Medium"/>
                <w:color w:val="002071"/>
                <w:sz w:val="30"/>
                <w:highlight w:val="none"/>
              </w:rPr>
              <w:t>实施日期：</w:t>
            </w:r>
          </w:p>
        </w:tc>
        <w:tc>
          <w:tcPr>
            <w:tcW w:w="4249" w:type="dxa"/>
            <w:vAlign w:val="center"/>
          </w:tcPr>
          <w:p>
            <w:pPr>
              <w:ind w:firstLine="280" w:firstLineChars="100"/>
              <w:rPr>
                <w:rFonts w:hint="eastAsia" w:ascii="隶书" w:hAnsi="思源黑体 CN Medium" w:eastAsia="隶书" w:cs="思源黑体 CN Medium"/>
                <w:color w:val="002071"/>
                <w:sz w:val="28"/>
                <w:szCs w:val="15"/>
                <w:highlight w:val="none"/>
              </w:rPr>
            </w:pPr>
            <w:r>
              <w:rPr>
                <w:rFonts w:hint="eastAsia" w:ascii="隶书" w:hAnsi="思源黑体 CN Medium" w:eastAsia="隶书" w:cs="思源黑体 CN Medium"/>
                <w:color w:val="002071"/>
                <w:sz w:val="28"/>
                <w:szCs w:val="15"/>
                <w:highlight w:val="none"/>
              </w:rPr>
              <w:t>20</w:t>
            </w:r>
            <w:r>
              <w:rPr>
                <w:rFonts w:hint="eastAsia" w:ascii="隶书" w:hAnsi="思源黑体 CN Medium" w:eastAsia="隶书" w:cs="思源黑体 CN Medium"/>
                <w:color w:val="002071"/>
                <w:sz w:val="28"/>
                <w:szCs w:val="15"/>
                <w:highlight w:val="none"/>
                <w:lang w:val="en-US" w:eastAsia="zh-CN"/>
              </w:rPr>
              <w:t>25</w:t>
            </w:r>
            <w:r>
              <w:rPr>
                <w:rFonts w:hint="eastAsia" w:ascii="隶书" w:hAnsi="思源黑体 CN Medium" w:eastAsia="隶书" w:cs="思源黑体 CN Medium"/>
                <w:color w:val="002071"/>
                <w:sz w:val="28"/>
                <w:szCs w:val="15"/>
                <w:highlight w:val="none"/>
              </w:rPr>
              <w:t>年</w:t>
            </w:r>
            <w:r>
              <w:rPr>
                <w:rFonts w:hint="eastAsia" w:ascii="隶书" w:hAnsi="思源黑体 CN Medium" w:eastAsia="隶书" w:cs="思源黑体 CN Medium"/>
                <w:color w:val="002071"/>
                <w:sz w:val="28"/>
                <w:szCs w:val="15"/>
                <w:highlight w:val="none"/>
                <w:lang w:val="en-US" w:eastAsia="zh-CN"/>
              </w:rPr>
              <w:t>06</w:t>
            </w:r>
            <w:r>
              <w:rPr>
                <w:rFonts w:hint="eastAsia" w:ascii="隶书" w:hAnsi="思源黑体 CN Medium" w:eastAsia="隶书" w:cs="思源黑体 CN Medium"/>
                <w:color w:val="002071"/>
                <w:sz w:val="28"/>
                <w:szCs w:val="15"/>
                <w:highlight w:val="none"/>
              </w:rPr>
              <w:t>月</w:t>
            </w:r>
            <w:r>
              <w:rPr>
                <w:rFonts w:hint="eastAsia" w:ascii="隶书" w:hAnsi="思源黑体 CN Medium" w:eastAsia="隶书" w:cs="思源黑体 CN Medium"/>
                <w:color w:val="002071"/>
                <w:sz w:val="28"/>
                <w:szCs w:val="15"/>
                <w:highlight w:val="none"/>
                <w:lang w:val="en-US" w:eastAsia="zh-CN"/>
              </w:rPr>
              <w:t>13</w:t>
            </w:r>
            <w:r>
              <w:rPr>
                <w:rFonts w:hint="eastAsia" w:ascii="隶书" w:hAnsi="思源黑体 CN Medium" w:eastAsia="隶书" w:cs="思源黑体 CN Medium"/>
                <w:color w:val="002071"/>
                <w:sz w:val="28"/>
                <w:szCs w:val="15"/>
                <w:highlight w:val="none"/>
              </w:rPr>
              <w:t>日</w:t>
            </w:r>
          </w:p>
        </w:tc>
      </w:tr>
    </w:tbl>
    <w:p>
      <w:pPr>
        <w:spacing w:line="360" w:lineRule="auto"/>
        <w:rPr>
          <w:rFonts w:hint="eastAsia" w:ascii="黑体" w:hAnsi="宋体" w:eastAsia="黑体"/>
          <w:szCs w:val="21"/>
          <w:highlight w:val="none"/>
        </w:rPr>
      </w:pPr>
    </w:p>
    <w:p>
      <w:pPr>
        <w:spacing w:line="360" w:lineRule="auto"/>
        <w:rPr>
          <w:rFonts w:eastAsia="方正姚体"/>
          <w:sz w:val="32"/>
          <w:highlight w:val="none"/>
        </w:rPr>
      </w:pPr>
    </w:p>
    <w:p>
      <w:pPr>
        <w:rPr>
          <w:highlight w:val="none"/>
        </w:rPr>
      </w:pPr>
    </w:p>
    <w:p>
      <w:pPr>
        <w:rPr>
          <w:highlight w:val="none"/>
        </w:rPr>
      </w:pPr>
    </w:p>
    <w:p>
      <w:pPr>
        <w:rPr>
          <w:highlight w:val="none"/>
        </w:rPr>
      </w:pPr>
    </w:p>
    <w:p>
      <w:pPr>
        <w:rPr>
          <w:highlight w:val="none"/>
        </w:rPr>
      </w:pPr>
    </w:p>
    <w:p>
      <w:pPr>
        <w:rPr>
          <w:highlight w:val="none"/>
        </w:rPr>
      </w:pPr>
    </w:p>
    <w:p>
      <w:pPr>
        <w:rPr>
          <w:highlight w:val="none"/>
        </w:rPr>
      </w:pPr>
    </w:p>
    <w:p>
      <w:pPr>
        <w:rPr>
          <w:highlight w:val="none"/>
        </w:rPr>
      </w:pPr>
    </w:p>
    <w:p>
      <w:pPr>
        <w:rPr>
          <w:highlight w:val="none"/>
        </w:rPr>
      </w:pPr>
    </w:p>
    <w:p>
      <w:pPr>
        <w:rPr>
          <w:highlight w:val="none"/>
        </w:rPr>
      </w:pPr>
    </w:p>
    <w:p>
      <w:pPr>
        <w:rPr>
          <w:highlight w:val="none"/>
        </w:rPr>
      </w:pPr>
    </w:p>
    <w:p>
      <w:pPr>
        <w:rPr>
          <w:highlight w:val="none"/>
        </w:rPr>
      </w:pPr>
    </w:p>
    <w:p>
      <w:pPr>
        <w:rPr>
          <w:highlight w:val="none"/>
        </w:rPr>
      </w:pPr>
    </w:p>
    <w:p>
      <w:pPr>
        <w:ind w:firstLine="600" w:firstLineChars="200"/>
        <w:jc w:val="center"/>
        <w:rPr>
          <w:sz w:val="30"/>
          <w:highlight w:val="none"/>
        </w:rPr>
      </w:pPr>
    </w:p>
    <w:p>
      <w:pPr>
        <w:ind w:firstLine="720" w:firstLineChars="200"/>
        <w:jc w:val="center"/>
        <w:rPr>
          <w:rFonts w:ascii="黑体" w:eastAsia="黑体"/>
          <w:sz w:val="36"/>
          <w:szCs w:val="36"/>
          <w:highlight w:val="none"/>
        </w:rPr>
      </w:pPr>
    </w:p>
    <w:p>
      <w:pPr>
        <w:rPr>
          <w:highlight w:val="none"/>
        </w:rPr>
      </w:pPr>
    </w:p>
    <w:p>
      <w:pPr>
        <w:rPr>
          <w:highlight w:val="none"/>
        </w:rPr>
      </w:pPr>
    </w:p>
    <w:p>
      <w:pPr>
        <w:rPr>
          <w:rFonts w:hint="eastAsia" w:ascii="宋体" w:hAnsi="宋体"/>
          <w:sz w:val="24"/>
          <w:highlight w:val="none"/>
        </w:rPr>
        <w:sectPr>
          <w:headerReference r:id="rId5" w:type="first"/>
          <w:footerReference r:id="rId7" w:type="first"/>
          <w:headerReference r:id="rId3" w:type="default"/>
          <w:footerReference r:id="rId6" w:type="default"/>
          <w:headerReference r:id="rId4" w:type="even"/>
          <w:pgSz w:w="11906" w:h="16838"/>
          <w:pgMar w:top="856" w:right="1797" w:bottom="1440" w:left="1797" w:header="159" w:footer="0" w:gutter="0"/>
          <w:pgNumType w:start="1"/>
          <w:cols w:space="425" w:num="1"/>
          <w:titlePg/>
          <w:docGrid w:type="lines" w:linePitch="312" w:charSpace="0"/>
        </w:sectPr>
      </w:pPr>
    </w:p>
    <w:p>
      <w:pPr>
        <w:spacing w:line="360" w:lineRule="auto"/>
        <w:rPr>
          <w:b/>
          <w:bCs/>
          <w:sz w:val="30"/>
          <w:highlight w:val="none"/>
        </w:rPr>
      </w:pPr>
      <w:r>
        <w:rPr>
          <w:highlight w:val="none"/>
        </w:rPr>
        <w:t xml:space="preserve"> </w:t>
      </w:r>
      <w:r>
        <w:rPr>
          <w:rFonts w:hint="eastAsia" w:ascii="黑体" w:hAnsi="宋体" w:eastAsia="黑体"/>
          <w:szCs w:val="21"/>
          <w:highlight w:val="none"/>
        </w:rPr>
        <w:t xml:space="preserve">                     </w:t>
      </w:r>
    </w:p>
    <w:p>
      <w:pPr>
        <w:spacing w:line="720" w:lineRule="auto"/>
        <w:ind w:left="50"/>
        <w:jc w:val="center"/>
        <w:rPr>
          <w:rFonts w:hint="eastAsia" w:ascii="宋体" w:hAnsi="宋体"/>
          <w:b/>
          <w:sz w:val="30"/>
          <w:szCs w:val="30"/>
          <w:highlight w:val="none"/>
        </w:rPr>
      </w:pPr>
      <w:r>
        <w:rPr>
          <w:rFonts w:hint="eastAsia" w:ascii="宋体" w:hAnsi="宋体"/>
          <w:b/>
          <w:sz w:val="30"/>
          <w:szCs w:val="30"/>
          <w:highlight w:val="none"/>
        </w:rPr>
        <w:t>目</w:t>
      </w:r>
      <w:r>
        <w:rPr>
          <w:rFonts w:ascii="宋体" w:hAnsi="宋体"/>
          <w:b/>
          <w:sz w:val="30"/>
          <w:szCs w:val="30"/>
          <w:highlight w:val="none"/>
        </w:rPr>
        <w:t xml:space="preserve">     </w:t>
      </w:r>
      <w:r>
        <w:rPr>
          <w:rFonts w:hint="eastAsia" w:ascii="宋体" w:hAnsi="宋体"/>
          <w:b/>
          <w:sz w:val="30"/>
          <w:szCs w:val="30"/>
          <w:highlight w:val="none"/>
        </w:rPr>
        <w:t>录</w:t>
      </w:r>
    </w:p>
    <w:p>
      <w:pPr>
        <w:pStyle w:val="14"/>
        <w:tabs>
          <w:tab w:val="right" w:leader="dot" w:pos="8312"/>
        </w:tabs>
        <w:rPr>
          <w:highlight w:val="none"/>
        </w:rPr>
      </w:pPr>
      <w:r>
        <w:rPr>
          <w:rFonts w:ascii="宋体" w:hAnsi="宋体" w:cs="Arial"/>
          <w:b/>
          <w:szCs w:val="21"/>
          <w:highlight w:val="none"/>
        </w:rPr>
        <w:fldChar w:fldCharType="begin"/>
      </w:r>
      <w:r>
        <w:rPr>
          <w:rFonts w:ascii="宋体" w:hAnsi="宋体" w:cs="Arial"/>
          <w:b/>
          <w:szCs w:val="21"/>
          <w:highlight w:val="none"/>
        </w:rPr>
        <w:instrText xml:space="preserve"> </w:instrText>
      </w:r>
      <w:r>
        <w:rPr>
          <w:rFonts w:hint="eastAsia" w:ascii="宋体" w:hAnsi="宋体" w:cs="Arial"/>
          <w:b/>
          <w:szCs w:val="21"/>
          <w:highlight w:val="none"/>
        </w:rPr>
        <w:instrText xml:space="preserve">TOC \h \z \t "标题 1,1"</w:instrText>
      </w:r>
      <w:r>
        <w:rPr>
          <w:rFonts w:ascii="宋体" w:hAnsi="宋体" w:cs="Arial"/>
          <w:b/>
          <w:szCs w:val="21"/>
          <w:highlight w:val="none"/>
        </w:rPr>
        <w:instrText xml:space="preserve"> </w:instrText>
      </w:r>
      <w:r>
        <w:rPr>
          <w:rFonts w:ascii="宋体" w:hAnsi="宋体" w:cs="Arial"/>
          <w:b/>
          <w:szCs w:val="21"/>
          <w:highlight w:val="none"/>
        </w:rPr>
        <w:fldChar w:fldCharType="separate"/>
      </w:r>
      <w:r>
        <w:rPr>
          <w:highlight w:val="none"/>
        </w:rPr>
        <w:fldChar w:fldCharType="begin"/>
      </w:r>
      <w:r>
        <w:rPr>
          <w:highlight w:val="none"/>
        </w:rPr>
        <w:instrText xml:space="preserve"> HYPERLINK \l "_Toc9922" </w:instrText>
      </w:r>
      <w:r>
        <w:rPr>
          <w:highlight w:val="none"/>
        </w:rPr>
        <w:fldChar w:fldCharType="separate"/>
      </w:r>
      <w:r>
        <w:rPr>
          <w:highlight w:val="none"/>
        </w:rPr>
        <w:t>1</w:t>
      </w:r>
      <w:r>
        <w:rPr>
          <w:rFonts w:hint="eastAsia"/>
          <w:highlight w:val="none"/>
        </w:rPr>
        <w:t>适用范围</w:t>
      </w:r>
      <w:r>
        <w:rPr>
          <w:highlight w:val="none"/>
        </w:rPr>
        <w:tab/>
      </w:r>
      <w:r>
        <w:rPr>
          <w:highlight w:val="none"/>
        </w:rPr>
        <w:fldChar w:fldCharType="begin"/>
      </w:r>
      <w:r>
        <w:rPr>
          <w:highlight w:val="none"/>
        </w:rPr>
        <w:instrText xml:space="preserve"> PAGEREF _Toc9922 \h </w:instrText>
      </w:r>
      <w:r>
        <w:rPr>
          <w:highlight w:val="none"/>
        </w:rPr>
        <w:fldChar w:fldCharType="separate"/>
      </w:r>
      <w:r>
        <w:rPr>
          <w:highlight w:val="none"/>
        </w:rPr>
        <w:t>2</w:t>
      </w:r>
      <w:r>
        <w:rPr>
          <w:highlight w:val="none"/>
        </w:rPr>
        <w:fldChar w:fldCharType="end"/>
      </w:r>
      <w:r>
        <w:rPr>
          <w:highlight w:val="none"/>
        </w:rPr>
        <w:fldChar w:fldCharType="end"/>
      </w:r>
    </w:p>
    <w:p>
      <w:pPr>
        <w:pStyle w:val="14"/>
        <w:tabs>
          <w:tab w:val="right" w:leader="dot" w:pos="8312"/>
        </w:tabs>
        <w:rPr>
          <w:highlight w:val="none"/>
        </w:rPr>
      </w:pPr>
      <w:r>
        <w:rPr>
          <w:highlight w:val="none"/>
        </w:rPr>
        <w:fldChar w:fldCharType="begin"/>
      </w:r>
      <w:r>
        <w:rPr>
          <w:highlight w:val="none"/>
        </w:rPr>
        <w:instrText xml:space="preserve"> HYPERLINK \l "_Toc21174" </w:instrText>
      </w:r>
      <w:r>
        <w:rPr>
          <w:highlight w:val="none"/>
        </w:rPr>
        <w:fldChar w:fldCharType="separate"/>
      </w:r>
      <w:r>
        <w:rPr>
          <w:highlight w:val="none"/>
        </w:rPr>
        <w:t>2</w:t>
      </w:r>
      <w:r>
        <w:rPr>
          <w:rFonts w:hint="eastAsia"/>
          <w:highlight w:val="none"/>
        </w:rPr>
        <w:t>认证模式</w:t>
      </w:r>
      <w:r>
        <w:rPr>
          <w:highlight w:val="none"/>
        </w:rPr>
        <w:tab/>
      </w:r>
      <w:r>
        <w:rPr>
          <w:highlight w:val="none"/>
        </w:rPr>
        <w:fldChar w:fldCharType="begin"/>
      </w:r>
      <w:r>
        <w:rPr>
          <w:highlight w:val="none"/>
        </w:rPr>
        <w:instrText xml:space="preserve"> PAGEREF _Toc21174 \h </w:instrText>
      </w:r>
      <w:r>
        <w:rPr>
          <w:highlight w:val="none"/>
        </w:rPr>
        <w:fldChar w:fldCharType="separate"/>
      </w:r>
      <w:r>
        <w:rPr>
          <w:highlight w:val="none"/>
        </w:rPr>
        <w:t>2</w:t>
      </w:r>
      <w:r>
        <w:rPr>
          <w:highlight w:val="none"/>
        </w:rPr>
        <w:fldChar w:fldCharType="end"/>
      </w:r>
      <w:r>
        <w:rPr>
          <w:highlight w:val="none"/>
        </w:rPr>
        <w:fldChar w:fldCharType="end"/>
      </w:r>
    </w:p>
    <w:p>
      <w:pPr>
        <w:pStyle w:val="14"/>
        <w:tabs>
          <w:tab w:val="right" w:leader="dot" w:pos="8312"/>
        </w:tabs>
        <w:rPr>
          <w:highlight w:val="none"/>
        </w:rPr>
      </w:pPr>
      <w:r>
        <w:rPr>
          <w:highlight w:val="none"/>
        </w:rPr>
        <w:fldChar w:fldCharType="begin"/>
      </w:r>
      <w:r>
        <w:rPr>
          <w:highlight w:val="none"/>
        </w:rPr>
        <w:instrText xml:space="preserve"> HYPERLINK \l "_Toc28846" </w:instrText>
      </w:r>
      <w:r>
        <w:rPr>
          <w:highlight w:val="none"/>
        </w:rPr>
        <w:fldChar w:fldCharType="separate"/>
      </w:r>
      <w:r>
        <w:rPr>
          <w:rFonts w:hint="eastAsia"/>
          <w:highlight w:val="none"/>
        </w:rPr>
        <w:t>3认证依据</w:t>
      </w:r>
      <w:r>
        <w:rPr>
          <w:highlight w:val="none"/>
        </w:rPr>
        <w:tab/>
      </w:r>
      <w:r>
        <w:rPr>
          <w:highlight w:val="none"/>
        </w:rPr>
        <w:fldChar w:fldCharType="begin"/>
      </w:r>
      <w:r>
        <w:rPr>
          <w:highlight w:val="none"/>
        </w:rPr>
        <w:instrText xml:space="preserve"> PAGEREF _Toc28846 \h </w:instrText>
      </w:r>
      <w:r>
        <w:rPr>
          <w:highlight w:val="none"/>
        </w:rPr>
        <w:fldChar w:fldCharType="separate"/>
      </w:r>
      <w:r>
        <w:rPr>
          <w:highlight w:val="none"/>
        </w:rPr>
        <w:t>2</w:t>
      </w:r>
      <w:r>
        <w:rPr>
          <w:highlight w:val="none"/>
        </w:rPr>
        <w:fldChar w:fldCharType="end"/>
      </w:r>
      <w:r>
        <w:rPr>
          <w:highlight w:val="none"/>
        </w:rPr>
        <w:fldChar w:fldCharType="end"/>
      </w:r>
    </w:p>
    <w:p>
      <w:pPr>
        <w:pStyle w:val="14"/>
        <w:tabs>
          <w:tab w:val="right" w:leader="dot" w:pos="8312"/>
        </w:tabs>
        <w:rPr>
          <w:highlight w:val="none"/>
        </w:rPr>
      </w:pPr>
      <w:r>
        <w:rPr>
          <w:highlight w:val="none"/>
        </w:rPr>
        <w:fldChar w:fldCharType="begin"/>
      </w:r>
      <w:r>
        <w:rPr>
          <w:highlight w:val="none"/>
        </w:rPr>
        <w:instrText xml:space="preserve"> HYPERLINK \l "_Toc8320" </w:instrText>
      </w:r>
      <w:r>
        <w:rPr>
          <w:highlight w:val="none"/>
        </w:rPr>
        <w:fldChar w:fldCharType="separate"/>
      </w:r>
      <w:r>
        <w:rPr>
          <w:rFonts w:hint="eastAsia"/>
          <w:highlight w:val="none"/>
        </w:rPr>
        <w:t>4 认证过程流程图</w:t>
      </w:r>
      <w:r>
        <w:rPr>
          <w:highlight w:val="none"/>
        </w:rPr>
        <w:tab/>
      </w:r>
      <w:r>
        <w:rPr>
          <w:highlight w:val="none"/>
        </w:rPr>
        <w:fldChar w:fldCharType="begin"/>
      </w:r>
      <w:r>
        <w:rPr>
          <w:highlight w:val="none"/>
        </w:rPr>
        <w:instrText xml:space="preserve"> PAGEREF _Toc8320 \h </w:instrText>
      </w:r>
      <w:r>
        <w:rPr>
          <w:highlight w:val="none"/>
        </w:rPr>
        <w:fldChar w:fldCharType="separate"/>
      </w:r>
      <w:r>
        <w:rPr>
          <w:highlight w:val="none"/>
        </w:rPr>
        <w:t>3</w:t>
      </w:r>
      <w:r>
        <w:rPr>
          <w:highlight w:val="none"/>
        </w:rPr>
        <w:fldChar w:fldCharType="end"/>
      </w:r>
      <w:r>
        <w:rPr>
          <w:highlight w:val="none"/>
        </w:rPr>
        <w:fldChar w:fldCharType="end"/>
      </w:r>
    </w:p>
    <w:p>
      <w:pPr>
        <w:pStyle w:val="14"/>
        <w:tabs>
          <w:tab w:val="right" w:leader="dot" w:pos="8312"/>
        </w:tabs>
        <w:rPr>
          <w:highlight w:val="none"/>
        </w:rPr>
      </w:pPr>
      <w:r>
        <w:rPr>
          <w:highlight w:val="none"/>
        </w:rPr>
        <w:fldChar w:fldCharType="begin"/>
      </w:r>
      <w:r>
        <w:rPr>
          <w:highlight w:val="none"/>
        </w:rPr>
        <w:instrText xml:space="preserve"> HYPERLINK \l "_Toc26189" </w:instrText>
      </w:r>
      <w:r>
        <w:rPr>
          <w:highlight w:val="none"/>
        </w:rPr>
        <w:fldChar w:fldCharType="separate"/>
      </w:r>
      <w:r>
        <w:rPr>
          <w:rFonts w:hint="eastAsia"/>
          <w:highlight w:val="none"/>
        </w:rPr>
        <w:t>5 认证申请</w:t>
      </w:r>
      <w:r>
        <w:rPr>
          <w:rFonts w:hint="eastAsia"/>
          <w:highlight w:val="none"/>
        </w:rPr>
        <w:t>及评审</w:t>
      </w:r>
      <w:r>
        <w:rPr>
          <w:highlight w:val="none"/>
        </w:rPr>
        <w:tab/>
      </w:r>
      <w:r>
        <w:rPr>
          <w:highlight w:val="none"/>
        </w:rPr>
        <w:fldChar w:fldCharType="begin"/>
      </w:r>
      <w:r>
        <w:rPr>
          <w:highlight w:val="none"/>
        </w:rPr>
        <w:instrText xml:space="preserve"> PAGEREF _Toc26189 \h </w:instrText>
      </w:r>
      <w:r>
        <w:rPr>
          <w:highlight w:val="none"/>
        </w:rPr>
        <w:fldChar w:fldCharType="separate"/>
      </w:r>
      <w:r>
        <w:rPr>
          <w:highlight w:val="none"/>
        </w:rPr>
        <w:t>3</w:t>
      </w:r>
      <w:r>
        <w:rPr>
          <w:highlight w:val="none"/>
        </w:rPr>
        <w:fldChar w:fldCharType="end"/>
      </w:r>
      <w:r>
        <w:rPr>
          <w:highlight w:val="none"/>
        </w:rPr>
        <w:fldChar w:fldCharType="end"/>
      </w:r>
    </w:p>
    <w:p>
      <w:pPr>
        <w:pStyle w:val="14"/>
        <w:tabs>
          <w:tab w:val="right" w:leader="dot" w:pos="8312"/>
        </w:tabs>
        <w:rPr>
          <w:highlight w:val="none"/>
        </w:rPr>
      </w:pPr>
      <w:r>
        <w:rPr>
          <w:highlight w:val="none"/>
        </w:rPr>
        <w:fldChar w:fldCharType="begin"/>
      </w:r>
      <w:r>
        <w:rPr>
          <w:highlight w:val="none"/>
        </w:rPr>
        <w:instrText xml:space="preserve"> HYPERLINK \l "_Toc32206" </w:instrText>
      </w:r>
      <w:r>
        <w:rPr>
          <w:highlight w:val="none"/>
        </w:rPr>
        <w:fldChar w:fldCharType="separate"/>
      </w:r>
      <w:r>
        <w:rPr>
          <w:rFonts w:hint="eastAsia" w:ascii="宋体" w:hAnsi="宋体"/>
          <w:highlight w:val="none"/>
        </w:rPr>
        <w:t>6 审核方案策划</w:t>
      </w:r>
      <w:r>
        <w:rPr>
          <w:highlight w:val="none"/>
        </w:rPr>
        <w:tab/>
      </w:r>
      <w:r>
        <w:rPr>
          <w:highlight w:val="none"/>
        </w:rPr>
        <w:fldChar w:fldCharType="begin"/>
      </w:r>
      <w:r>
        <w:rPr>
          <w:highlight w:val="none"/>
        </w:rPr>
        <w:instrText xml:space="preserve"> PAGEREF _Toc32206 \h </w:instrText>
      </w:r>
      <w:r>
        <w:rPr>
          <w:highlight w:val="none"/>
        </w:rPr>
        <w:fldChar w:fldCharType="separate"/>
      </w:r>
      <w:r>
        <w:rPr>
          <w:highlight w:val="none"/>
        </w:rPr>
        <w:t>5</w:t>
      </w:r>
      <w:r>
        <w:rPr>
          <w:highlight w:val="none"/>
        </w:rPr>
        <w:fldChar w:fldCharType="end"/>
      </w:r>
      <w:r>
        <w:rPr>
          <w:highlight w:val="none"/>
        </w:rPr>
        <w:fldChar w:fldCharType="end"/>
      </w:r>
    </w:p>
    <w:p>
      <w:pPr>
        <w:pStyle w:val="14"/>
        <w:tabs>
          <w:tab w:val="right" w:leader="dot" w:pos="8312"/>
        </w:tabs>
        <w:rPr>
          <w:highlight w:val="none"/>
        </w:rPr>
      </w:pPr>
      <w:r>
        <w:rPr>
          <w:highlight w:val="none"/>
        </w:rPr>
        <w:fldChar w:fldCharType="begin"/>
      </w:r>
      <w:r>
        <w:rPr>
          <w:highlight w:val="none"/>
        </w:rPr>
        <w:instrText xml:space="preserve"> HYPERLINK \l "_Toc641" </w:instrText>
      </w:r>
      <w:r>
        <w:rPr>
          <w:highlight w:val="none"/>
        </w:rPr>
        <w:fldChar w:fldCharType="separate"/>
      </w:r>
      <w:r>
        <w:rPr>
          <w:rFonts w:hint="eastAsia"/>
          <w:highlight w:val="none"/>
        </w:rPr>
        <w:t>7 认证实施</w:t>
      </w:r>
      <w:r>
        <w:rPr>
          <w:highlight w:val="none"/>
        </w:rPr>
        <w:tab/>
      </w:r>
      <w:r>
        <w:rPr>
          <w:highlight w:val="none"/>
        </w:rPr>
        <w:fldChar w:fldCharType="begin"/>
      </w:r>
      <w:r>
        <w:rPr>
          <w:highlight w:val="none"/>
        </w:rPr>
        <w:instrText xml:space="preserve"> PAGEREF _Toc641 \h </w:instrText>
      </w:r>
      <w:r>
        <w:rPr>
          <w:highlight w:val="none"/>
        </w:rPr>
        <w:fldChar w:fldCharType="separate"/>
      </w:r>
      <w:r>
        <w:rPr>
          <w:highlight w:val="none"/>
        </w:rPr>
        <w:t>5</w:t>
      </w:r>
      <w:r>
        <w:rPr>
          <w:highlight w:val="none"/>
        </w:rPr>
        <w:fldChar w:fldCharType="end"/>
      </w:r>
      <w:r>
        <w:rPr>
          <w:highlight w:val="none"/>
        </w:rPr>
        <w:fldChar w:fldCharType="end"/>
      </w:r>
    </w:p>
    <w:p>
      <w:pPr>
        <w:pStyle w:val="14"/>
        <w:tabs>
          <w:tab w:val="right" w:leader="dot" w:pos="8312"/>
        </w:tabs>
        <w:rPr>
          <w:highlight w:val="none"/>
        </w:rPr>
      </w:pPr>
      <w:r>
        <w:rPr>
          <w:highlight w:val="none"/>
        </w:rPr>
        <w:fldChar w:fldCharType="begin"/>
      </w:r>
      <w:r>
        <w:rPr>
          <w:highlight w:val="none"/>
        </w:rPr>
        <w:instrText xml:space="preserve"> HYPERLINK \l "_Toc16630" </w:instrText>
      </w:r>
      <w:r>
        <w:rPr>
          <w:highlight w:val="none"/>
        </w:rPr>
        <w:fldChar w:fldCharType="separate"/>
      </w:r>
      <w:r>
        <w:rPr>
          <w:rFonts w:hint="eastAsia" w:ascii="宋体" w:hAnsi="宋体"/>
          <w:highlight w:val="none"/>
        </w:rPr>
        <w:t>8 不符合</w:t>
      </w:r>
      <w:r>
        <w:rPr>
          <w:highlight w:val="none"/>
        </w:rPr>
        <w:tab/>
      </w:r>
      <w:r>
        <w:rPr>
          <w:highlight w:val="none"/>
        </w:rPr>
        <w:fldChar w:fldCharType="begin"/>
      </w:r>
      <w:r>
        <w:rPr>
          <w:highlight w:val="none"/>
        </w:rPr>
        <w:instrText xml:space="preserve"> PAGEREF _Toc16630 \h </w:instrText>
      </w:r>
      <w:r>
        <w:rPr>
          <w:highlight w:val="none"/>
        </w:rPr>
        <w:fldChar w:fldCharType="separate"/>
      </w:r>
      <w:r>
        <w:rPr>
          <w:highlight w:val="none"/>
        </w:rPr>
        <w:t>9</w:t>
      </w:r>
      <w:r>
        <w:rPr>
          <w:highlight w:val="none"/>
        </w:rPr>
        <w:fldChar w:fldCharType="end"/>
      </w:r>
      <w:r>
        <w:rPr>
          <w:highlight w:val="none"/>
        </w:rPr>
        <w:fldChar w:fldCharType="end"/>
      </w:r>
    </w:p>
    <w:p>
      <w:pPr>
        <w:pStyle w:val="14"/>
        <w:tabs>
          <w:tab w:val="right" w:leader="dot" w:pos="8312"/>
        </w:tabs>
        <w:rPr>
          <w:highlight w:val="none"/>
        </w:rPr>
      </w:pPr>
      <w:r>
        <w:rPr>
          <w:highlight w:val="none"/>
        </w:rPr>
        <w:fldChar w:fldCharType="begin"/>
      </w:r>
      <w:r>
        <w:rPr>
          <w:highlight w:val="none"/>
        </w:rPr>
        <w:instrText xml:space="preserve"> HYPERLINK \l "_Toc21851" </w:instrText>
      </w:r>
      <w:r>
        <w:rPr>
          <w:highlight w:val="none"/>
        </w:rPr>
        <w:fldChar w:fldCharType="separate"/>
      </w:r>
      <w:r>
        <w:rPr>
          <w:rFonts w:hint="eastAsia" w:ascii="宋体" w:hAnsi="宋体"/>
          <w:highlight w:val="none"/>
        </w:rPr>
        <w:t>9 审核报告</w:t>
      </w:r>
      <w:r>
        <w:rPr>
          <w:highlight w:val="none"/>
        </w:rPr>
        <w:tab/>
      </w:r>
      <w:r>
        <w:rPr>
          <w:highlight w:val="none"/>
        </w:rPr>
        <w:fldChar w:fldCharType="begin"/>
      </w:r>
      <w:r>
        <w:rPr>
          <w:highlight w:val="none"/>
        </w:rPr>
        <w:instrText xml:space="preserve"> PAGEREF _Toc21851 \h </w:instrText>
      </w:r>
      <w:r>
        <w:rPr>
          <w:highlight w:val="none"/>
        </w:rPr>
        <w:fldChar w:fldCharType="separate"/>
      </w:r>
      <w:r>
        <w:rPr>
          <w:highlight w:val="none"/>
        </w:rPr>
        <w:t>10</w:t>
      </w:r>
      <w:r>
        <w:rPr>
          <w:highlight w:val="none"/>
        </w:rPr>
        <w:fldChar w:fldCharType="end"/>
      </w:r>
      <w:r>
        <w:rPr>
          <w:highlight w:val="none"/>
        </w:rPr>
        <w:fldChar w:fldCharType="end"/>
      </w:r>
    </w:p>
    <w:p>
      <w:pPr>
        <w:pStyle w:val="14"/>
        <w:tabs>
          <w:tab w:val="right" w:leader="dot" w:pos="8312"/>
        </w:tabs>
        <w:rPr>
          <w:highlight w:val="none"/>
        </w:rPr>
      </w:pPr>
      <w:r>
        <w:rPr>
          <w:highlight w:val="none"/>
        </w:rPr>
        <w:fldChar w:fldCharType="begin"/>
      </w:r>
      <w:r>
        <w:rPr>
          <w:highlight w:val="none"/>
        </w:rPr>
        <w:instrText xml:space="preserve"> HYPERLINK \l "_Toc18575" </w:instrText>
      </w:r>
      <w:r>
        <w:rPr>
          <w:highlight w:val="none"/>
        </w:rPr>
        <w:fldChar w:fldCharType="separate"/>
      </w:r>
      <w:r>
        <w:rPr>
          <w:rFonts w:hint="eastAsia" w:ascii="宋体" w:hAnsi="宋体"/>
          <w:highlight w:val="none"/>
        </w:rPr>
        <w:t>10 认证决定</w:t>
      </w:r>
      <w:r>
        <w:rPr>
          <w:highlight w:val="none"/>
        </w:rPr>
        <w:tab/>
      </w:r>
      <w:r>
        <w:rPr>
          <w:highlight w:val="none"/>
        </w:rPr>
        <w:fldChar w:fldCharType="begin"/>
      </w:r>
      <w:r>
        <w:rPr>
          <w:highlight w:val="none"/>
        </w:rPr>
        <w:instrText xml:space="preserve"> PAGEREF _Toc18575 \h </w:instrText>
      </w:r>
      <w:r>
        <w:rPr>
          <w:highlight w:val="none"/>
        </w:rPr>
        <w:fldChar w:fldCharType="separate"/>
      </w:r>
      <w:r>
        <w:rPr>
          <w:highlight w:val="none"/>
        </w:rPr>
        <w:t>10</w:t>
      </w:r>
      <w:r>
        <w:rPr>
          <w:highlight w:val="none"/>
        </w:rPr>
        <w:fldChar w:fldCharType="end"/>
      </w:r>
      <w:r>
        <w:rPr>
          <w:highlight w:val="none"/>
        </w:rPr>
        <w:fldChar w:fldCharType="end"/>
      </w:r>
    </w:p>
    <w:p>
      <w:pPr>
        <w:pStyle w:val="14"/>
        <w:tabs>
          <w:tab w:val="right" w:leader="dot" w:pos="8312"/>
        </w:tabs>
        <w:rPr>
          <w:highlight w:val="none"/>
        </w:rPr>
      </w:pPr>
      <w:r>
        <w:rPr>
          <w:highlight w:val="none"/>
        </w:rPr>
        <w:fldChar w:fldCharType="begin"/>
      </w:r>
      <w:r>
        <w:rPr>
          <w:highlight w:val="none"/>
        </w:rPr>
        <w:instrText xml:space="preserve"> HYPERLINK \l "_Toc16058" </w:instrText>
      </w:r>
      <w:r>
        <w:rPr>
          <w:highlight w:val="none"/>
        </w:rPr>
        <w:fldChar w:fldCharType="separate"/>
      </w:r>
      <w:r>
        <w:rPr>
          <w:rFonts w:hint="eastAsia"/>
          <w:highlight w:val="none"/>
        </w:rPr>
        <w:t>11批准、保持、扩大、缩小、暂停、恢复和撤消的条件和程序</w:t>
      </w:r>
      <w:r>
        <w:rPr>
          <w:highlight w:val="none"/>
        </w:rPr>
        <w:tab/>
      </w:r>
      <w:r>
        <w:rPr>
          <w:highlight w:val="none"/>
        </w:rPr>
        <w:fldChar w:fldCharType="begin"/>
      </w:r>
      <w:r>
        <w:rPr>
          <w:highlight w:val="none"/>
        </w:rPr>
        <w:instrText xml:space="preserve"> PAGEREF _Toc16058 \h </w:instrText>
      </w:r>
      <w:r>
        <w:rPr>
          <w:highlight w:val="none"/>
        </w:rPr>
        <w:fldChar w:fldCharType="separate"/>
      </w:r>
      <w:r>
        <w:rPr>
          <w:highlight w:val="none"/>
        </w:rPr>
        <w:t>11</w:t>
      </w:r>
      <w:r>
        <w:rPr>
          <w:highlight w:val="none"/>
        </w:rPr>
        <w:fldChar w:fldCharType="end"/>
      </w:r>
      <w:r>
        <w:rPr>
          <w:highlight w:val="none"/>
        </w:rPr>
        <w:fldChar w:fldCharType="end"/>
      </w:r>
    </w:p>
    <w:p>
      <w:pPr>
        <w:pStyle w:val="14"/>
        <w:tabs>
          <w:tab w:val="right" w:leader="dot" w:pos="8312"/>
        </w:tabs>
        <w:rPr>
          <w:highlight w:val="none"/>
        </w:rPr>
      </w:pPr>
      <w:r>
        <w:rPr>
          <w:highlight w:val="none"/>
        </w:rPr>
        <w:fldChar w:fldCharType="begin"/>
      </w:r>
      <w:r>
        <w:rPr>
          <w:highlight w:val="none"/>
        </w:rPr>
        <w:instrText xml:space="preserve"> HYPERLINK \l "_Toc2582" </w:instrText>
      </w:r>
      <w:r>
        <w:rPr>
          <w:highlight w:val="none"/>
        </w:rPr>
        <w:fldChar w:fldCharType="separate"/>
      </w:r>
      <w:r>
        <w:rPr>
          <w:rFonts w:hint="eastAsia"/>
          <w:highlight w:val="none"/>
        </w:rPr>
        <w:t>12认证证书管理</w:t>
      </w:r>
      <w:r>
        <w:rPr>
          <w:highlight w:val="none"/>
        </w:rPr>
        <w:tab/>
      </w:r>
      <w:r>
        <w:rPr>
          <w:highlight w:val="none"/>
        </w:rPr>
        <w:fldChar w:fldCharType="begin"/>
      </w:r>
      <w:r>
        <w:rPr>
          <w:highlight w:val="none"/>
        </w:rPr>
        <w:instrText xml:space="preserve"> PAGEREF _Toc2582 \h </w:instrText>
      </w:r>
      <w:r>
        <w:rPr>
          <w:highlight w:val="none"/>
        </w:rPr>
        <w:fldChar w:fldCharType="separate"/>
      </w:r>
      <w:r>
        <w:rPr>
          <w:highlight w:val="none"/>
        </w:rPr>
        <w:t>18</w:t>
      </w:r>
      <w:r>
        <w:rPr>
          <w:highlight w:val="none"/>
        </w:rPr>
        <w:fldChar w:fldCharType="end"/>
      </w:r>
      <w:r>
        <w:rPr>
          <w:highlight w:val="none"/>
        </w:rPr>
        <w:fldChar w:fldCharType="end"/>
      </w:r>
    </w:p>
    <w:p>
      <w:pPr>
        <w:pStyle w:val="14"/>
        <w:tabs>
          <w:tab w:val="right" w:leader="dot" w:pos="8312"/>
        </w:tabs>
        <w:rPr>
          <w:highlight w:val="none"/>
        </w:rPr>
      </w:pPr>
      <w:r>
        <w:rPr>
          <w:highlight w:val="none"/>
        </w:rPr>
        <w:fldChar w:fldCharType="begin"/>
      </w:r>
      <w:r>
        <w:rPr>
          <w:highlight w:val="none"/>
        </w:rPr>
        <w:instrText xml:space="preserve"> HYPERLINK \l "_Toc1749" </w:instrText>
      </w:r>
      <w:r>
        <w:rPr>
          <w:highlight w:val="none"/>
        </w:rPr>
        <w:fldChar w:fldCharType="separate"/>
      </w:r>
      <w:r>
        <w:rPr>
          <w:rFonts w:hint="eastAsia"/>
          <w:highlight w:val="none"/>
        </w:rPr>
        <w:t>13信息通报</w:t>
      </w:r>
      <w:r>
        <w:rPr>
          <w:highlight w:val="none"/>
        </w:rPr>
        <w:tab/>
      </w:r>
      <w:r>
        <w:rPr>
          <w:highlight w:val="none"/>
        </w:rPr>
        <w:fldChar w:fldCharType="begin"/>
      </w:r>
      <w:r>
        <w:rPr>
          <w:highlight w:val="none"/>
        </w:rPr>
        <w:instrText xml:space="preserve"> PAGEREF _Toc1749 \h </w:instrText>
      </w:r>
      <w:r>
        <w:rPr>
          <w:highlight w:val="none"/>
        </w:rPr>
        <w:fldChar w:fldCharType="separate"/>
      </w:r>
      <w:r>
        <w:rPr>
          <w:highlight w:val="none"/>
        </w:rPr>
        <w:t>18</w:t>
      </w:r>
      <w:r>
        <w:rPr>
          <w:highlight w:val="none"/>
        </w:rPr>
        <w:fldChar w:fldCharType="end"/>
      </w:r>
      <w:r>
        <w:rPr>
          <w:highlight w:val="none"/>
        </w:rPr>
        <w:fldChar w:fldCharType="end"/>
      </w:r>
    </w:p>
    <w:p>
      <w:pPr>
        <w:pStyle w:val="14"/>
        <w:tabs>
          <w:tab w:val="right" w:leader="dot" w:pos="8312"/>
        </w:tabs>
        <w:rPr>
          <w:highlight w:val="none"/>
        </w:rPr>
      </w:pPr>
      <w:r>
        <w:rPr>
          <w:highlight w:val="none"/>
        </w:rPr>
        <w:fldChar w:fldCharType="begin"/>
      </w:r>
      <w:r>
        <w:rPr>
          <w:highlight w:val="none"/>
        </w:rPr>
        <w:instrText xml:space="preserve"> HYPERLINK \l "_Toc31444" </w:instrText>
      </w:r>
      <w:r>
        <w:rPr>
          <w:highlight w:val="none"/>
        </w:rPr>
        <w:fldChar w:fldCharType="separate"/>
      </w:r>
      <w:r>
        <w:rPr>
          <w:rFonts w:hint="eastAsia"/>
          <w:highlight w:val="none"/>
        </w:rPr>
        <w:t>14 认证要求变更</w:t>
      </w:r>
      <w:r>
        <w:rPr>
          <w:highlight w:val="none"/>
        </w:rPr>
        <w:tab/>
      </w:r>
      <w:r>
        <w:rPr>
          <w:highlight w:val="none"/>
        </w:rPr>
        <w:fldChar w:fldCharType="begin"/>
      </w:r>
      <w:r>
        <w:rPr>
          <w:highlight w:val="none"/>
        </w:rPr>
        <w:instrText xml:space="preserve"> PAGEREF _Toc31444 \h </w:instrText>
      </w:r>
      <w:r>
        <w:rPr>
          <w:highlight w:val="none"/>
        </w:rPr>
        <w:fldChar w:fldCharType="separate"/>
      </w:r>
      <w:r>
        <w:rPr>
          <w:highlight w:val="none"/>
        </w:rPr>
        <w:t>18</w:t>
      </w:r>
      <w:r>
        <w:rPr>
          <w:highlight w:val="none"/>
        </w:rPr>
        <w:fldChar w:fldCharType="end"/>
      </w:r>
      <w:r>
        <w:rPr>
          <w:highlight w:val="none"/>
        </w:rPr>
        <w:fldChar w:fldCharType="end"/>
      </w:r>
    </w:p>
    <w:p>
      <w:pPr>
        <w:pStyle w:val="14"/>
        <w:tabs>
          <w:tab w:val="right" w:leader="dot" w:pos="8312"/>
        </w:tabs>
        <w:rPr>
          <w:highlight w:val="none"/>
        </w:rPr>
      </w:pPr>
      <w:r>
        <w:rPr>
          <w:highlight w:val="none"/>
        </w:rPr>
        <w:fldChar w:fldCharType="begin"/>
      </w:r>
      <w:r>
        <w:rPr>
          <w:highlight w:val="none"/>
        </w:rPr>
        <w:instrText xml:space="preserve"> HYPERLINK \l "_Toc3096" </w:instrText>
      </w:r>
      <w:r>
        <w:rPr>
          <w:highlight w:val="none"/>
        </w:rPr>
        <w:fldChar w:fldCharType="separate"/>
      </w:r>
      <w:r>
        <w:rPr>
          <w:rFonts w:hint="eastAsia"/>
          <w:highlight w:val="none"/>
        </w:rPr>
        <w:t>15 保密</w:t>
      </w:r>
      <w:r>
        <w:rPr>
          <w:highlight w:val="none"/>
        </w:rPr>
        <w:tab/>
      </w:r>
      <w:r>
        <w:rPr>
          <w:highlight w:val="none"/>
        </w:rPr>
        <w:fldChar w:fldCharType="begin"/>
      </w:r>
      <w:r>
        <w:rPr>
          <w:highlight w:val="none"/>
        </w:rPr>
        <w:instrText xml:space="preserve"> PAGEREF _Toc3096 \h </w:instrText>
      </w:r>
      <w:r>
        <w:rPr>
          <w:highlight w:val="none"/>
        </w:rPr>
        <w:fldChar w:fldCharType="separate"/>
      </w:r>
      <w:r>
        <w:rPr>
          <w:highlight w:val="none"/>
        </w:rPr>
        <w:t>18</w:t>
      </w:r>
      <w:r>
        <w:rPr>
          <w:highlight w:val="none"/>
        </w:rPr>
        <w:fldChar w:fldCharType="end"/>
      </w:r>
      <w:r>
        <w:rPr>
          <w:highlight w:val="none"/>
        </w:rPr>
        <w:fldChar w:fldCharType="end"/>
      </w:r>
    </w:p>
    <w:p>
      <w:pPr>
        <w:pStyle w:val="14"/>
        <w:tabs>
          <w:tab w:val="right" w:leader="dot" w:pos="8312"/>
        </w:tabs>
        <w:rPr>
          <w:highlight w:val="none"/>
        </w:rPr>
      </w:pPr>
      <w:r>
        <w:rPr>
          <w:highlight w:val="none"/>
        </w:rPr>
        <w:fldChar w:fldCharType="begin"/>
      </w:r>
      <w:r>
        <w:rPr>
          <w:highlight w:val="none"/>
        </w:rPr>
        <w:instrText xml:space="preserve"> HYPERLINK \l "_Toc19639" </w:instrText>
      </w:r>
      <w:r>
        <w:rPr>
          <w:highlight w:val="none"/>
        </w:rPr>
        <w:fldChar w:fldCharType="separate"/>
      </w:r>
      <w:r>
        <w:rPr>
          <w:rFonts w:hint="eastAsia"/>
          <w:highlight w:val="none"/>
        </w:rPr>
        <w:t>16、申诉/投诉、争议及处理</w:t>
      </w:r>
      <w:r>
        <w:rPr>
          <w:highlight w:val="none"/>
        </w:rPr>
        <w:tab/>
      </w:r>
      <w:r>
        <w:rPr>
          <w:highlight w:val="none"/>
        </w:rPr>
        <w:fldChar w:fldCharType="begin"/>
      </w:r>
      <w:r>
        <w:rPr>
          <w:highlight w:val="none"/>
        </w:rPr>
        <w:instrText xml:space="preserve"> PAGEREF _Toc19639 \h </w:instrText>
      </w:r>
      <w:r>
        <w:rPr>
          <w:highlight w:val="none"/>
        </w:rPr>
        <w:fldChar w:fldCharType="separate"/>
      </w:r>
      <w:r>
        <w:rPr>
          <w:highlight w:val="none"/>
        </w:rPr>
        <w:t>19</w:t>
      </w:r>
      <w:r>
        <w:rPr>
          <w:highlight w:val="none"/>
        </w:rPr>
        <w:fldChar w:fldCharType="end"/>
      </w:r>
      <w:r>
        <w:rPr>
          <w:highlight w:val="none"/>
        </w:rPr>
        <w:fldChar w:fldCharType="end"/>
      </w:r>
    </w:p>
    <w:p>
      <w:pPr>
        <w:pStyle w:val="14"/>
        <w:tabs>
          <w:tab w:val="right" w:leader="dot" w:pos="8312"/>
        </w:tabs>
        <w:rPr>
          <w:highlight w:val="none"/>
        </w:rPr>
      </w:pPr>
      <w:r>
        <w:rPr>
          <w:highlight w:val="none"/>
        </w:rPr>
        <w:fldChar w:fldCharType="begin"/>
      </w:r>
      <w:r>
        <w:rPr>
          <w:highlight w:val="none"/>
        </w:rPr>
        <w:instrText xml:space="preserve"> HYPERLINK \l "_Toc14599" </w:instrText>
      </w:r>
      <w:r>
        <w:rPr>
          <w:highlight w:val="none"/>
        </w:rPr>
        <w:fldChar w:fldCharType="separate"/>
      </w:r>
      <w:r>
        <w:rPr>
          <w:rFonts w:hint="eastAsia"/>
          <w:highlight w:val="none"/>
        </w:rPr>
        <w:t>17 费用</w:t>
      </w:r>
      <w:r>
        <w:rPr>
          <w:highlight w:val="none"/>
        </w:rPr>
        <w:tab/>
      </w:r>
      <w:r>
        <w:rPr>
          <w:highlight w:val="none"/>
        </w:rPr>
        <w:fldChar w:fldCharType="begin"/>
      </w:r>
      <w:r>
        <w:rPr>
          <w:highlight w:val="none"/>
        </w:rPr>
        <w:instrText xml:space="preserve"> PAGEREF _Toc14599 \h </w:instrText>
      </w:r>
      <w:r>
        <w:rPr>
          <w:highlight w:val="none"/>
        </w:rPr>
        <w:fldChar w:fldCharType="separate"/>
      </w:r>
      <w:r>
        <w:rPr>
          <w:highlight w:val="none"/>
        </w:rPr>
        <w:t>19</w:t>
      </w:r>
      <w:r>
        <w:rPr>
          <w:highlight w:val="none"/>
        </w:rPr>
        <w:fldChar w:fldCharType="end"/>
      </w:r>
      <w:r>
        <w:rPr>
          <w:highlight w:val="none"/>
        </w:rPr>
        <w:fldChar w:fldCharType="end"/>
      </w:r>
    </w:p>
    <w:p>
      <w:pPr>
        <w:pStyle w:val="14"/>
        <w:tabs>
          <w:tab w:val="right" w:leader="dot" w:pos="8312"/>
        </w:tabs>
        <w:rPr>
          <w:highlight w:val="none"/>
        </w:rPr>
      </w:pPr>
      <w:r>
        <w:rPr>
          <w:highlight w:val="none"/>
        </w:rPr>
        <w:fldChar w:fldCharType="begin"/>
      </w:r>
      <w:r>
        <w:rPr>
          <w:highlight w:val="none"/>
        </w:rPr>
        <w:instrText xml:space="preserve"> HYPERLINK \l "_Toc1858" </w:instrText>
      </w:r>
      <w:r>
        <w:rPr>
          <w:highlight w:val="none"/>
        </w:rPr>
        <w:fldChar w:fldCharType="separate"/>
      </w:r>
      <w:r>
        <w:rPr>
          <w:rFonts w:hint="eastAsia"/>
          <w:highlight w:val="none"/>
        </w:rPr>
        <w:t>18 公告</w:t>
      </w:r>
      <w:r>
        <w:rPr>
          <w:highlight w:val="none"/>
        </w:rPr>
        <w:tab/>
      </w:r>
      <w:r>
        <w:rPr>
          <w:highlight w:val="none"/>
        </w:rPr>
        <w:fldChar w:fldCharType="begin"/>
      </w:r>
      <w:r>
        <w:rPr>
          <w:highlight w:val="none"/>
        </w:rPr>
        <w:instrText xml:space="preserve"> PAGEREF _Toc1858 \h </w:instrText>
      </w:r>
      <w:r>
        <w:rPr>
          <w:highlight w:val="none"/>
        </w:rPr>
        <w:fldChar w:fldCharType="separate"/>
      </w:r>
      <w:r>
        <w:rPr>
          <w:highlight w:val="none"/>
        </w:rPr>
        <w:t>19</w:t>
      </w:r>
      <w:r>
        <w:rPr>
          <w:highlight w:val="none"/>
        </w:rPr>
        <w:fldChar w:fldCharType="end"/>
      </w:r>
      <w:r>
        <w:rPr>
          <w:highlight w:val="none"/>
        </w:rPr>
        <w:fldChar w:fldCharType="end"/>
      </w:r>
    </w:p>
    <w:p>
      <w:pPr>
        <w:pStyle w:val="14"/>
        <w:tabs>
          <w:tab w:val="right" w:leader="dot" w:pos="8312"/>
        </w:tabs>
        <w:rPr>
          <w:highlight w:val="none"/>
        </w:rPr>
      </w:pPr>
      <w:r>
        <w:rPr>
          <w:highlight w:val="none"/>
        </w:rPr>
        <w:fldChar w:fldCharType="begin"/>
      </w:r>
      <w:r>
        <w:rPr>
          <w:highlight w:val="none"/>
        </w:rPr>
        <w:instrText xml:space="preserve"> HYPERLINK \l "_Toc18937" </w:instrText>
      </w:r>
      <w:r>
        <w:rPr>
          <w:highlight w:val="none"/>
        </w:rPr>
        <w:fldChar w:fldCharType="separate"/>
      </w:r>
      <w:r>
        <w:rPr>
          <w:rFonts w:hint="eastAsia"/>
          <w:highlight w:val="none"/>
        </w:rPr>
        <w:t>19 附则</w:t>
      </w:r>
      <w:r>
        <w:rPr>
          <w:highlight w:val="none"/>
        </w:rPr>
        <w:tab/>
      </w:r>
      <w:r>
        <w:rPr>
          <w:highlight w:val="none"/>
        </w:rPr>
        <w:fldChar w:fldCharType="begin"/>
      </w:r>
      <w:r>
        <w:rPr>
          <w:highlight w:val="none"/>
        </w:rPr>
        <w:instrText xml:space="preserve"> PAGEREF _Toc18937 \h </w:instrText>
      </w:r>
      <w:r>
        <w:rPr>
          <w:highlight w:val="none"/>
        </w:rPr>
        <w:fldChar w:fldCharType="separate"/>
      </w:r>
      <w:r>
        <w:rPr>
          <w:highlight w:val="none"/>
        </w:rPr>
        <w:t>19</w:t>
      </w:r>
      <w:r>
        <w:rPr>
          <w:highlight w:val="none"/>
        </w:rPr>
        <w:fldChar w:fldCharType="end"/>
      </w:r>
      <w:r>
        <w:rPr>
          <w:highlight w:val="none"/>
        </w:rPr>
        <w:fldChar w:fldCharType="end"/>
      </w:r>
    </w:p>
    <w:p>
      <w:pPr>
        <w:spacing w:line="360" w:lineRule="auto"/>
        <w:rPr>
          <w:rFonts w:hint="eastAsia" w:ascii="宋体" w:hAnsi="宋体" w:cs="Arial"/>
          <w:b/>
          <w:szCs w:val="21"/>
          <w:highlight w:val="none"/>
        </w:rPr>
      </w:pPr>
      <w:r>
        <w:rPr>
          <w:rFonts w:ascii="宋体" w:hAnsi="宋体" w:cs="Arial"/>
          <w:szCs w:val="21"/>
          <w:highlight w:val="none"/>
        </w:rPr>
        <w:fldChar w:fldCharType="end"/>
      </w:r>
    </w:p>
    <w:p>
      <w:pPr>
        <w:spacing w:line="360" w:lineRule="auto"/>
        <w:rPr>
          <w:rFonts w:hint="eastAsia" w:ascii="宋体" w:hAnsi="宋体" w:cs="Arial"/>
          <w:b/>
          <w:szCs w:val="21"/>
          <w:highlight w:val="none"/>
        </w:rPr>
      </w:pPr>
    </w:p>
    <w:p>
      <w:pPr>
        <w:spacing w:line="360" w:lineRule="auto"/>
        <w:rPr>
          <w:rFonts w:hint="eastAsia" w:ascii="宋体" w:hAnsi="宋体" w:cs="Arial"/>
          <w:b/>
          <w:szCs w:val="21"/>
          <w:highlight w:val="none"/>
        </w:rPr>
      </w:pPr>
    </w:p>
    <w:p>
      <w:pPr>
        <w:spacing w:line="360" w:lineRule="auto"/>
        <w:rPr>
          <w:rFonts w:hint="eastAsia" w:ascii="宋体" w:hAnsi="宋体" w:cs="Arial"/>
          <w:b/>
          <w:szCs w:val="21"/>
          <w:highlight w:val="none"/>
        </w:rPr>
      </w:pPr>
    </w:p>
    <w:p>
      <w:pPr>
        <w:spacing w:line="360" w:lineRule="auto"/>
        <w:rPr>
          <w:rFonts w:hint="eastAsia" w:ascii="宋体" w:hAnsi="宋体" w:cs="Arial"/>
          <w:b/>
          <w:szCs w:val="21"/>
          <w:highlight w:val="none"/>
        </w:rPr>
      </w:pPr>
    </w:p>
    <w:p>
      <w:pPr>
        <w:spacing w:line="360" w:lineRule="auto"/>
        <w:rPr>
          <w:rFonts w:hint="eastAsia" w:ascii="宋体" w:hAnsi="宋体" w:cs="Arial"/>
          <w:b/>
          <w:szCs w:val="21"/>
          <w:highlight w:val="none"/>
        </w:rPr>
      </w:pPr>
    </w:p>
    <w:p>
      <w:pPr>
        <w:spacing w:line="360" w:lineRule="auto"/>
        <w:rPr>
          <w:rFonts w:hint="eastAsia" w:ascii="宋体" w:hAnsi="宋体" w:cs="Arial"/>
          <w:b/>
          <w:szCs w:val="21"/>
          <w:highlight w:val="none"/>
        </w:rPr>
      </w:pPr>
    </w:p>
    <w:p>
      <w:pPr>
        <w:spacing w:line="360" w:lineRule="auto"/>
        <w:rPr>
          <w:rFonts w:hint="eastAsia" w:ascii="宋体" w:hAnsi="宋体" w:cs="Arial"/>
          <w:b/>
          <w:szCs w:val="21"/>
          <w:highlight w:val="none"/>
        </w:rPr>
      </w:pPr>
    </w:p>
    <w:p>
      <w:pPr>
        <w:spacing w:before="312" w:beforeLines="100" w:after="312" w:afterLines="100" w:line="360" w:lineRule="auto"/>
        <w:jc w:val="center"/>
        <w:rPr>
          <w:rFonts w:hint="eastAsia" w:ascii="黑体" w:hAnsi="黑体" w:eastAsia="黑体"/>
          <w:bCs/>
          <w:sz w:val="36"/>
          <w:szCs w:val="36"/>
          <w:highlight w:val="none"/>
        </w:rPr>
      </w:pPr>
      <w:r>
        <w:rPr>
          <w:rFonts w:hint="eastAsia" w:ascii="黑体" w:hAnsi="黑体" w:eastAsia="黑体"/>
          <w:bCs/>
          <w:sz w:val="36"/>
          <w:szCs w:val="36"/>
          <w:highlight w:val="none"/>
        </w:rPr>
        <w:t>健康、安全与环境管理体系认证实施方案</w:t>
      </w:r>
    </w:p>
    <w:p>
      <w:pPr>
        <w:pStyle w:val="2"/>
        <w:rPr>
          <w:highlight w:val="none"/>
        </w:rPr>
      </w:pPr>
      <w:bookmarkStart w:id="0" w:name="_Toc9922"/>
      <w:bookmarkStart w:id="1" w:name="_Toc522697756"/>
      <w:r>
        <w:rPr>
          <w:highlight w:val="none"/>
        </w:rPr>
        <w:t>1</w:t>
      </w:r>
      <w:r>
        <w:rPr>
          <w:rFonts w:hint="eastAsia"/>
          <w:highlight w:val="none"/>
        </w:rPr>
        <w:t>适用范围</w:t>
      </w:r>
      <w:bookmarkEnd w:id="0"/>
      <w:bookmarkEnd w:id="1"/>
    </w:p>
    <w:p>
      <w:pPr>
        <w:spacing w:line="360" w:lineRule="auto"/>
        <w:ind w:firstLine="480" w:firstLineChars="200"/>
        <w:rPr>
          <w:rFonts w:hint="eastAsia" w:ascii="宋体" w:hAnsi="宋体"/>
          <w:sz w:val="24"/>
          <w:highlight w:val="none"/>
        </w:rPr>
      </w:pPr>
      <w:r>
        <w:rPr>
          <w:rFonts w:hint="eastAsia" w:ascii="宋体" w:hAnsi="宋体"/>
          <w:sz w:val="24"/>
          <w:highlight w:val="none"/>
        </w:rPr>
        <w:t>本认证方案适用于方圆标志认证集团有限公司（以下简称：CQM）实施健康、安全与环境（以下简称：HSE）管理体系认证，满足第三方认证制度要求，作为提供认证服务的规范。必要时，在认证合同中补充相关的技术要求。</w:t>
      </w:r>
    </w:p>
    <w:p>
      <w:pPr>
        <w:spacing w:line="360" w:lineRule="auto"/>
        <w:ind w:left="50" w:leftChars="24" w:firstLine="480" w:firstLineChars="200"/>
        <w:rPr>
          <w:sz w:val="24"/>
          <w:highlight w:val="none"/>
        </w:rPr>
      </w:pPr>
      <w:r>
        <w:rPr>
          <w:rFonts w:hint="eastAsia" w:ascii="宋体" w:hAnsi="宋体"/>
          <w:sz w:val="24"/>
          <w:highlight w:val="none"/>
        </w:rPr>
        <w:t>本方案作为《质量、环境、职业健康安全管理体系认证实施方案》的补充，《质量、环境、职业健康安全管理体系认证实施方案》中对E</w:t>
      </w:r>
      <w:r>
        <w:rPr>
          <w:rFonts w:ascii="宋体" w:hAnsi="宋体"/>
          <w:sz w:val="24"/>
          <w:highlight w:val="none"/>
        </w:rPr>
        <w:t>MS</w:t>
      </w:r>
      <w:r>
        <w:rPr>
          <w:rFonts w:hint="eastAsia" w:ascii="宋体" w:hAnsi="宋体"/>
          <w:sz w:val="24"/>
          <w:highlight w:val="none"/>
        </w:rPr>
        <w:t>和OHSMS</w:t>
      </w:r>
      <w:r>
        <w:rPr>
          <w:rFonts w:ascii="宋体" w:hAnsi="宋体"/>
          <w:sz w:val="24"/>
          <w:highlight w:val="none"/>
        </w:rPr>
        <w:t>的</w:t>
      </w:r>
      <w:r>
        <w:rPr>
          <w:rFonts w:hint="eastAsia" w:ascii="宋体" w:hAnsi="宋体"/>
          <w:sz w:val="24"/>
          <w:highlight w:val="none"/>
        </w:rPr>
        <w:t>通用要求对本方案同样适用。</w:t>
      </w:r>
    </w:p>
    <w:p>
      <w:pPr>
        <w:spacing w:line="360" w:lineRule="auto"/>
        <w:ind w:left="50" w:leftChars="24" w:firstLine="480" w:firstLineChars="200"/>
        <w:rPr>
          <w:sz w:val="24"/>
          <w:highlight w:val="none"/>
        </w:rPr>
      </w:pPr>
      <w:r>
        <w:rPr>
          <w:rFonts w:hint="eastAsia"/>
          <w:sz w:val="24"/>
          <w:highlight w:val="none"/>
        </w:rPr>
        <w:t>本认证方案在认证双方签订合同时予以确认和采用。</w:t>
      </w:r>
    </w:p>
    <w:p>
      <w:pPr>
        <w:spacing w:line="360" w:lineRule="auto"/>
        <w:ind w:left="50" w:leftChars="24" w:firstLine="480" w:firstLineChars="200"/>
        <w:rPr>
          <w:rFonts w:hint="eastAsia" w:ascii="宋体" w:hAnsi="宋体"/>
          <w:sz w:val="24"/>
          <w:highlight w:val="none"/>
        </w:rPr>
      </w:pPr>
    </w:p>
    <w:p>
      <w:pPr>
        <w:pStyle w:val="2"/>
        <w:rPr>
          <w:highlight w:val="none"/>
        </w:rPr>
      </w:pPr>
      <w:bookmarkStart w:id="2" w:name="_Toc522697757"/>
      <w:bookmarkStart w:id="3" w:name="_Toc21174"/>
      <w:r>
        <w:rPr>
          <w:highlight w:val="none"/>
        </w:rPr>
        <w:t>2</w:t>
      </w:r>
      <w:bookmarkEnd w:id="2"/>
      <w:bookmarkStart w:id="4" w:name="_Toc522697758"/>
      <w:r>
        <w:rPr>
          <w:rFonts w:hint="eastAsia"/>
          <w:highlight w:val="none"/>
        </w:rPr>
        <w:t>认证模式</w:t>
      </w:r>
      <w:bookmarkEnd w:id="3"/>
      <w:bookmarkEnd w:id="4"/>
    </w:p>
    <w:p>
      <w:pPr>
        <w:pStyle w:val="7"/>
        <w:spacing w:after="0" w:line="360" w:lineRule="auto"/>
        <w:ind w:left="50" w:leftChars="24" w:firstLine="480" w:firstLineChars="200"/>
        <w:rPr>
          <w:rFonts w:hint="eastAsia" w:ascii="宋体" w:hAnsi="宋体"/>
          <w:sz w:val="24"/>
          <w:highlight w:val="none"/>
        </w:rPr>
      </w:pPr>
      <w:r>
        <w:rPr>
          <w:rFonts w:hint="eastAsia" w:ascii="宋体" w:hAnsi="宋体"/>
          <w:sz w:val="24"/>
          <w:highlight w:val="none"/>
        </w:rPr>
        <w:t>CQM首先对受审核方的管理体系进行初次审核，经过评定，确认是否批准认证；通过认证之后，在认证证书的有效期内对获证客户的管理体系进行监督，确认是否持续满足认证要求。</w:t>
      </w:r>
    </w:p>
    <w:p>
      <w:pPr>
        <w:pStyle w:val="7"/>
        <w:spacing w:after="0" w:line="360" w:lineRule="auto"/>
        <w:ind w:left="50" w:leftChars="24" w:firstLine="480" w:firstLineChars="200"/>
        <w:rPr>
          <w:rFonts w:hint="eastAsia" w:ascii="宋体" w:hAnsi="宋体"/>
          <w:sz w:val="24"/>
          <w:highlight w:val="none"/>
        </w:rPr>
      </w:pPr>
    </w:p>
    <w:p>
      <w:pPr>
        <w:pStyle w:val="2"/>
        <w:rPr>
          <w:highlight w:val="none"/>
        </w:rPr>
      </w:pPr>
      <w:bookmarkStart w:id="5" w:name="_Toc28846"/>
      <w:bookmarkStart w:id="6" w:name="_Toc522697759"/>
      <w:r>
        <w:rPr>
          <w:rFonts w:hint="eastAsia"/>
          <w:highlight w:val="none"/>
        </w:rPr>
        <w:t>3认证依据</w:t>
      </w:r>
      <w:bookmarkEnd w:id="5"/>
      <w:bookmarkEnd w:id="6"/>
    </w:p>
    <w:p>
      <w:pPr>
        <w:numPr>
          <w:ilvl w:val="0"/>
          <w:numId w:val="1"/>
        </w:numPr>
        <w:spacing w:line="360" w:lineRule="auto"/>
        <w:ind w:firstLine="480" w:firstLineChars="200"/>
        <w:rPr>
          <w:rFonts w:hint="eastAsia" w:ascii="宋体" w:hAnsi="宋体"/>
          <w:bCs/>
          <w:sz w:val="24"/>
          <w:highlight w:val="none"/>
        </w:rPr>
      </w:pPr>
      <w:r>
        <w:rPr>
          <w:rFonts w:hint="eastAsia" w:ascii="宋体" w:hAnsi="宋体"/>
          <w:bCs/>
          <w:sz w:val="24"/>
          <w:highlight w:val="none"/>
        </w:rPr>
        <w:t>中国石油化工集团公司HSSE 管理体系（要求）</w:t>
      </w:r>
      <w:bookmarkStart w:id="7" w:name="OLE_LINK1"/>
      <w:bookmarkStart w:id="8" w:name="OLE_LINK2"/>
      <w:r>
        <w:rPr>
          <w:rFonts w:hint="eastAsia" w:ascii="宋体" w:hAnsi="宋体"/>
          <w:bCs/>
          <w:sz w:val="24"/>
          <w:highlight w:val="none"/>
        </w:rPr>
        <w:t>（中石化HSE适用）</w:t>
      </w:r>
    </w:p>
    <w:p>
      <w:pPr>
        <w:numPr>
          <w:ilvl w:val="0"/>
          <w:numId w:val="1"/>
        </w:numPr>
        <w:spacing w:line="360" w:lineRule="auto"/>
        <w:ind w:firstLine="480" w:firstLineChars="200"/>
        <w:rPr>
          <w:rFonts w:hint="eastAsia" w:ascii="宋体" w:hAnsi="宋体"/>
          <w:bCs/>
          <w:color w:val="auto"/>
          <w:sz w:val="24"/>
          <w:highlight w:val="none"/>
        </w:rPr>
      </w:pPr>
      <w:r>
        <w:rPr>
          <w:rFonts w:ascii="宋体" w:hAnsi="宋体"/>
          <w:bCs/>
          <w:color w:val="auto"/>
          <w:sz w:val="24"/>
          <w:highlight w:val="none"/>
        </w:rPr>
        <w:t>Q/SY1002.1-20</w:t>
      </w:r>
      <w:r>
        <w:rPr>
          <w:rFonts w:hint="eastAsia" w:ascii="宋体" w:hAnsi="宋体"/>
          <w:bCs/>
          <w:color w:val="auto"/>
          <w:sz w:val="24"/>
          <w:highlight w:val="none"/>
        </w:rPr>
        <w:t>13</w:t>
      </w:r>
      <w:bookmarkEnd w:id="7"/>
      <w:bookmarkEnd w:id="8"/>
      <w:r>
        <w:rPr>
          <w:rFonts w:hint="eastAsia" w:ascii="宋体" w:hAnsi="宋体"/>
          <w:bCs/>
          <w:color w:val="auto"/>
          <w:sz w:val="24"/>
          <w:highlight w:val="none"/>
        </w:rPr>
        <w:t>健康、安全与环境管理体系第1部分：规范（中石油HSE适用）</w:t>
      </w:r>
    </w:p>
    <w:p>
      <w:pPr>
        <w:pStyle w:val="28"/>
        <w:numPr>
          <w:ilvl w:val="0"/>
          <w:numId w:val="1"/>
        </w:numPr>
        <w:spacing w:line="360" w:lineRule="auto"/>
        <w:ind w:firstLineChars="0"/>
        <w:rPr>
          <w:rFonts w:ascii="宋体" w:hAnsi="宋体"/>
          <w:bCs/>
          <w:sz w:val="24"/>
          <w:highlight w:val="none"/>
        </w:rPr>
      </w:pPr>
      <w:r>
        <w:rPr>
          <w:rFonts w:hint="eastAsia" w:ascii="宋体" w:hAnsi="宋体"/>
          <w:bCs/>
          <w:sz w:val="24"/>
          <w:highlight w:val="none"/>
        </w:rPr>
        <w:t>SY/T 6276-2014石油天然气工业</w:t>
      </w:r>
      <w:r>
        <w:rPr>
          <w:rFonts w:hint="eastAsia" w:ascii="宋体" w:hAnsi="宋体"/>
          <w:bCs/>
          <w:sz w:val="24"/>
          <w:highlight w:val="none"/>
          <w:lang w:val="en-US" w:eastAsia="zh-CN"/>
        </w:rPr>
        <w:t xml:space="preserve"> </w:t>
      </w:r>
      <w:r>
        <w:rPr>
          <w:rFonts w:hint="eastAsia" w:ascii="宋体" w:hAnsi="宋体"/>
          <w:bCs/>
          <w:sz w:val="24"/>
          <w:highlight w:val="none"/>
        </w:rPr>
        <w:t>健康、安全与环境管理体系（</w:t>
      </w:r>
      <w:r>
        <w:rPr>
          <w:rFonts w:hint="eastAsia" w:ascii="宋体" w:hAnsi="宋体" w:cs="宋体"/>
          <w:sz w:val="24"/>
          <w:highlight w:val="none"/>
        </w:rPr>
        <w:t>中华人民共和国石油天然气行业标准</w:t>
      </w:r>
      <w:r>
        <w:rPr>
          <w:rFonts w:hint="eastAsia" w:ascii="宋体" w:hAnsi="宋体"/>
          <w:bCs/>
          <w:sz w:val="24"/>
          <w:highlight w:val="none"/>
        </w:rPr>
        <w:t>）</w:t>
      </w:r>
    </w:p>
    <w:p>
      <w:pPr>
        <w:numPr>
          <w:ilvl w:val="0"/>
          <w:numId w:val="2"/>
        </w:numPr>
        <w:spacing w:line="360" w:lineRule="auto"/>
        <w:rPr>
          <w:rFonts w:ascii="宋体" w:hAnsi="宋体"/>
          <w:bCs/>
          <w:sz w:val="24"/>
          <w:highlight w:val="none"/>
        </w:rPr>
      </w:pPr>
      <w:r>
        <w:rPr>
          <w:rFonts w:ascii="宋体" w:hAnsi="宋体"/>
          <w:bCs/>
          <w:sz w:val="24"/>
          <w:highlight w:val="none"/>
        </w:rPr>
        <w:t>Q/</w:t>
      </w:r>
      <w:r>
        <w:rPr>
          <w:rFonts w:ascii="宋体" w:hAnsi="宋体"/>
          <w:bCs/>
          <w:color w:val="FF0000"/>
          <w:sz w:val="24"/>
          <w:highlight w:val="none"/>
        </w:rPr>
        <w:t>SHS</w:t>
      </w:r>
      <w:r>
        <w:rPr>
          <w:rFonts w:hint="eastAsia" w:ascii="宋体" w:hAnsi="宋体"/>
          <w:bCs/>
          <w:sz w:val="24"/>
          <w:highlight w:val="none"/>
          <w:lang w:val="en-US" w:eastAsia="zh-CN"/>
        </w:rPr>
        <w:t xml:space="preserve"> </w:t>
      </w:r>
      <w:r>
        <w:rPr>
          <w:rFonts w:ascii="宋体" w:hAnsi="宋体"/>
          <w:bCs/>
          <w:sz w:val="24"/>
          <w:highlight w:val="none"/>
        </w:rPr>
        <w:t>0001.1-2001</w:t>
      </w:r>
      <w:r>
        <w:rPr>
          <w:rFonts w:hint="eastAsia" w:ascii="宋体" w:hAnsi="宋体"/>
          <w:bCs/>
          <w:sz w:val="24"/>
          <w:highlight w:val="none"/>
          <w:lang w:val="en-US" w:eastAsia="zh-CN"/>
        </w:rPr>
        <w:t xml:space="preserve"> 中国石油化工集团公司 安全、环境与健康（HSE）管理体系</w:t>
      </w:r>
    </w:p>
    <w:p>
      <w:pPr>
        <w:numPr>
          <w:ilvl w:val="0"/>
          <w:numId w:val="2"/>
        </w:numPr>
        <w:spacing w:line="360" w:lineRule="auto"/>
        <w:rPr>
          <w:rFonts w:ascii="宋体" w:hAnsi="宋体"/>
          <w:bCs/>
          <w:sz w:val="24"/>
          <w:highlight w:val="none"/>
        </w:rPr>
      </w:pPr>
      <w:r>
        <w:rPr>
          <w:rFonts w:hint="eastAsia" w:ascii="宋体" w:hAnsi="宋体"/>
          <w:bCs/>
          <w:sz w:val="24"/>
          <w:highlight w:val="none"/>
        </w:rPr>
        <w:t>中国石油化工集团公司</w:t>
      </w:r>
      <w:r>
        <w:rPr>
          <w:rFonts w:ascii="宋体" w:hAnsi="宋体"/>
          <w:bCs/>
          <w:sz w:val="24"/>
          <w:highlight w:val="none"/>
        </w:rPr>
        <w:t>HSE</w:t>
      </w:r>
      <w:r>
        <w:rPr>
          <w:rFonts w:hint="eastAsia" w:ascii="宋体" w:hAnsi="宋体"/>
          <w:bCs/>
          <w:sz w:val="24"/>
          <w:highlight w:val="none"/>
          <w:lang w:val="en-US" w:eastAsia="zh-CN"/>
        </w:rPr>
        <w:t xml:space="preserve">管理体系 </w:t>
      </w:r>
      <w:r>
        <w:rPr>
          <w:rFonts w:ascii="宋体" w:hAnsi="宋体"/>
          <w:bCs/>
          <w:sz w:val="24"/>
          <w:highlight w:val="none"/>
        </w:rPr>
        <w:t>手册(2021版)</w:t>
      </w:r>
    </w:p>
    <w:p>
      <w:pPr>
        <w:numPr>
          <w:ilvl w:val="0"/>
          <w:numId w:val="2"/>
        </w:numPr>
        <w:spacing w:line="360" w:lineRule="auto"/>
        <w:rPr>
          <w:rFonts w:ascii="宋体" w:hAnsi="宋体"/>
          <w:bCs/>
          <w:sz w:val="24"/>
          <w:highlight w:val="none"/>
        </w:rPr>
      </w:pPr>
      <w:r>
        <w:rPr>
          <w:rFonts w:ascii="宋体" w:hAnsi="宋体"/>
          <w:bCs/>
          <w:sz w:val="24"/>
          <w:highlight w:val="none"/>
        </w:rPr>
        <w:t>Q/</w:t>
      </w:r>
      <w:r>
        <w:rPr>
          <w:rFonts w:hint="eastAsia" w:ascii="宋体" w:hAnsi="宋体"/>
          <w:bCs/>
          <w:sz w:val="24"/>
          <w:highlight w:val="none"/>
        </w:rPr>
        <w:t>S</w:t>
      </w:r>
      <w:r>
        <w:rPr>
          <w:rFonts w:ascii="宋体" w:hAnsi="宋体"/>
          <w:bCs/>
          <w:sz w:val="24"/>
          <w:highlight w:val="none"/>
        </w:rPr>
        <w:t>Y 08002.1-2022</w:t>
      </w:r>
      <w:r>
        <w:rPr>
          <w:rFonts w:hint="eastAsia" w:ascii="宋体" w:hAnsi="宋体"/>
          <w:bCs/>
          <w:sz w:val="24"/>
          <w:highlight w:val="none"/>
          <w:lang w:val="en-US" w:eastAsia="zh-CN"/>
        </w:rPr>
        <w:t xml:space="preserve"> 健康安全环境管理体系 第1部分：规范</w:t>
      </w:r>
    </w:p>
    <w:p>
      <w:pPr>
        <w:spacing w:line="360" w:lineRule="auto"/>
        <w:ind w:left="420" w:leftChars="200"/>
        <w:rPr>
          <w:rFonts w:hint="eastAsia" w:ascii="宋体" w:hAnsi="宋体"/>
          <w:bCs/>
          <w:sz w:val="24"/>
          <w:highlight w:val="none"/>
        </w:rPr>
      </w:pPr>
      <w:r>
        <w:rPr>
          <w:rFonts w:hint="eastAsia" w:ascii="宋体" w:hAnsi="宋体"/>
          <w:bCs/>
          <w:sz w:val="24"/>
          <w:highlight w:val="none"/>
          <w:lang w:val="en-US" w:eastAsia="zh-CN"/>
        </w:rPr>
        <w:t>可根据客户申请选择使用。</w:t>
      </w:r>
    </w:p>
    <w:p>
      <w:pPr>
        <w:spacing w:line="360" w:lineRule="auto"/>
        <w:ind w:left="420" w:leftChars="200"/>
        <w:rPr>
          <w:rFonts w:hint="eastAsia" w:ascii="宋体" w:hAnsi="宋体"/>
          <w:bCs/>
          <w:sz w:val="24"/>
          <w:highlight w:val="none"/>
        </w:rPr>
      </w:pPr>
    </w:p>
    <w:p>
      <w:pPr>
        <w:spacing w:line="360" w:lineRule="auto"/>
        <w:ind w:left="420" w:leftChars="200"/>
        <w:rPr>
          <w:rFonts w:hint="eastAsia" w:ascii="宋体" w:hAnsi="宋体"/>
          <w:bCs/>
          <w:sz w:val="24"/>
          <w:highlight w:val="none"/>
        </w:rPr>
      </w:pPr>
    </w:p>
    <w:p>
      <w:pPr>
        <w:spacing w:line="360" w:lineRule="auto"/>
        <w:ind w:left="420" w:leftChars="200"/>
        <w:rPr>
          <w:rFonts w:hint="eastAsia" w:ascii="宋体" w:hAnsi="宋体"/>
          <w:bCs/>
          <w:sz w:val="24"/>
          <w:highlight w:val="none"/>
        </w:rPr>
      </w:pPr>
    </w:p>
    <w:p>
      <w:pPr>
        <w:pStyle w:val="2"/>
        <w:rPr>
          <w:highlight w:val="none"/>
        </w:rPr>
      </w:pPr>
      <w:bookmarkStart w:id="9" w:name="_Toc522697760"/>
      <w:bookmarkStart w:id="10" w:name="_Toc85103624"/>
      <w:bookmarkStart w:id="11" w:name="_Toc85256249"/>
      <w:bookmarkStart w:id="12" w:name="_Toc85105513"/>
      <w:bookmarkStart w:id="13" w:name="_Toc85256279"/>
      <w:bookmarkStart w:id="14" w:name="_Toc8320"/>
      <w:r>
        <w:rPr>
          <w:rFonts w:hint="eastAsia"/>
          <w:highlight w:val="none"/>
        </w:rPr>
        <w:t>4 认证过程流程图</w:t>
      </w:r>
      <w:bookmarkEnd w:id="9"/>
      <w:bookmarkEnd w:id="10"/>
      <w:bookmarkEnd w:id="11"/>
      <w:bookmarkEnd w:id="12"/>
      <w:bookmarkEnd w:id="13"/>
      <w:bookmarkEnd w:id="14"/>
    </w:p>
    <w:p>
      <w:pPr>
        <w:spacing w:line="360" w:lineRule="auto"/>
        <w:rPr>
          <w:rFonts w:hint="eastAsia" w:ascii="宋体" w:hAnsi="宋体"/>
          <w:sz w:val="24"/>
          <w:highlight w:val="none"/>
        </w:rPr>
      </w:pPr>
    </w:p>
    <w:p>
      <w:pPr>
        <w:spacing w:line="360" w:lineRule="auto"/>
        <w:rPr>
          <w:rFonts w:hint="eastAsia" w:ascii="宋体" w:hAnsi="宋体"/>
          <w:sz w:val="24"/>
          <w:highlight w:val="none"/>
        </w:rPr>
      </w:pPr>
      <w:r>
        <w:rPr>
          <w:highlight w:val="none"/>
        </w:rPr>
        <w:pict>
          <v:shape id="_x0000_s2050" o:spid="_x0000_s2050" o:spt="75" type="#_x0000_t75" style="position:absolute;left:0pt;margin-left:85.55pt;margin-top:16.85pt;height:286pt;width:226.5pt;z-index:251665408;mso-width-relative:page;mso-height-relative:page;" o:ole="t" filled="f" o:preferrelative="t" stroked="f" coordsize="21600,21600">
            <v:path/>
            <v:fill on="f" alignshape="1" focussize="0,0"/>
            <v:stroke on="f"/>
            <v:imagedata r:id="rId12" grayscale="f" bilevel="f" o:title=""/>
            <o:lock v:ext="edit" aspectratio="t"/>
          </v:shape>
          <o:OLEObject Type="Embed" ProgID="" ShapeID="_x0000_s2050" DrawAspect="Content" ObjectID="_1468075725" r:id="rId11">
            <o:LockedField>false</o:LockedField>
          </o:OLEObject>
        </w:pict>
      </w:r>
    </w:p>
    <w:p>
      <w:pPr>
        <w:spacing w:line="360" w:lineRule="auto"/>
        <w:rPr>
          <w:rFonts w:hint="eastAsia" w:ascii="宋体" w:hAnsi="宋体"/>
          <w:sz w:val="24"/>
          <w:highlight w:val="none"/>
        </w:rPr>
      </w:pPr>
      <w:r>
        <w:rPr>
          <w:rFonts w:hint="eastAsia" w:ascii="宋体" w:hAnsi="宋体"/>
          <w:sz w:val="24"/>
          <w:highlight w:val="none"/>
        </w:rPr>
        <w:t xml:space="preserve">                                          </w:t>
      </w:r>
    </w:p>
    <w:p>
      <w:pPr>
        <w:spacing w:line="360" w:lineRule="auto"/>
        <w:rPr>
          <w:rFonts w:hint="eastAsia" w:ascii="宋体" w:hAnsi="宋体"/>
          <w:sz w:val="24"/>
          <w:highlight w:val="none"/>
        </w:rPr>
      </w:pPr>
    </w:p>
    <w:p>
      <w:pPr>
        <w:spacing w:line="360" w:lineRule="auto"/>
        <w:rPr>
          <w:rFonts w:hint="eastAsia" w:ascii="宋体" w:hAnsi="宋体"/>
          <w:sz w:val="24"/>
          <w:highlight w:val="none"/>
        </w:rPr>
      </w:pPr>
    </w:p>
    <w:p>
      <w:pPr>
        <w:spacing w:line="360" w:lineRule="auto"/>
        <w:rPr>
          <w:rFonts w:hint="eastAsia" w:ascii="宋体" w:hAnsi="宋体"/>
          <w:sz w:val="24"/>
          <w:highlight w:val="none"/>
        </w:rPr>
      </w:pPr>
    </w:p>
    <w:p>
      <w:pPr>
        <w:spacing w:line="360" w:lineRule="auto"/>
        <w:rPr>
          <w:rFonts w:hint="eastAsia" w:ascii="宋体" w:hAnsi="宋体"/>
          <w:sz w:val="24"/>
          <w:highlight w:val="none"/>
        </w:rPr>
      </w:pPr>
    </w:p>
    <w:p>
      <w:pPr>
        <w:spacing w:line="360" w:lineRule="auto"/>
        <w:rPr>
          <w:rFonts w:hint="eastAsia" w:ascii="宋体" w:hAnsi="宋体"/>
          <w:sz w:val="24"/>
          <w:highlight w:val="none"/>
        </w:rPr>
      </w:pPr>
    </w:p>
    <w:p>
      <w:pPr>
        <w:spacing w:line="360" w:lineRule="auto"/>
        <w:rPr>
          <w:rFonts w:hint="eastAsia" w:ascii="宋体" w:hAnsi="宋体"/>
          <w:sz w:val="24"/>
          <w:highlight w:val="none"/>
        </w:rPr>
      </w:pPr>
    </w:p>
    <w:p>
      <w:pPr>
        <w:spacing w:line="360" w:lineRule="auto"/>
        <w:rPr>
          <w:rFonts w:hint="eastAsia" w:ascii="宋体" w:hAnsi="宋体"/>
          <w:sz w:val="24"/>
          <w:highlight w:val="none"/>
        </w:rPr>
      </w:pPr>
    </w:p>
    <w:p>
      <w:pPr>
        <w:spacing w:line="360" w:lineRule="auto"/>
        <w:rPr>
          <w:rFonts w:hint="eastAsia" w:ascii="宋体" w:hAnsi="宋体"/>
          <w:sz w:val="24"/>
          <w:highlight w:val="none"/>
        </w:rPr>
      </w:pPr>
    </w:p>
    <w:p>
      <w:pPr>
        <w:spacing w:line="360" w:lineRule="auto"/>
        <w:rPr>
          <w:rFonts w:hint="eastAsia" w:ascii="宋体" w:hAnsi="宋体"/>
          <w:sz w:val="24"/>
          <w:highlight w:val="none"/>
        </w:rPr>
      </w:pPr>
    </w:p>
    <w:p>
      <w:pPr>
        <w:spacing w:line="360" w:lineRule="auto"/>
        <w:rPr>
          <w:rFonts w:hint="eastAsia" w:ascii="宋体" w:hAnsi="宋体"/>
          <w:sz w:val="24"/>
          <w:highlight w:val="none"/>
        </w:rPr>
      </w:pPr>
    </w:p>
    <w:p>
      <w:pPr>
        <w:spacing w:line="360" w:lineRule="auto"/>
        <w:rPr>
          <w:rFonts w:hint="eastAsia" w:ascii="宋体" w:hAnsi="宋体"/>
          <w:sz w:val="24"/>
          <w:highlight w:val="none"/>
        </w:rPr>
      </w:pPr>
    </w:p>
    <w:p>
      <w:pPr>
        <w:spacing w:line="360" w:lineRule="auto"/>
        <w:rPr>
          <w:rFonts w:hint="eastAsia" w:ascii="宋体" w:hAnsi="宋体"/>
          <w:sz w:val="24"/>
          <w:highlight w:val="none"/>
        </w:rPr>
      </w:pPr>
    </w:p>
    <w:p>
      <w:pPr>
        <w:spacing w:line="360" w:lineRule="auto"/>
        <w:rPr>
          <w:rFonts w:hint="eastAsia" w:ascii="宋体" w:hAnsi="宋体"/>
          <w:sz w:val="24"/>
          <w:highlight w:val="none"/>
        </w:rPr>
      </w:pPr>
    </w:p>
    <w:p>
      <w:pPr>
        <w:pStyle w:val="2"/>
        <w:rPr>
          <w:highlight w:val="none"/>
        </w:rPr>
      </w:pPr>
      <w:bookmarkStart w:id="15" w:name="_Toc85256250"/>
      <w:bookmarkStart w:id="16" w:name="_Toc33598903"/>
      <w:bookmarkStart w:id="17" w:name="_Toc522697766"/>
      <w:bookmarkStart w:id="18" w:name="_Toc33598532"/>
      <w:bookmarkStart w:id="19" w:name="_Toc33599578"/>
      <w:bookmarkStart w:id="20" w:name="_Toc33598963"/>
      <w:bookmarkStart w:id="21" w:name="_Toc85103625"/>
      <w:bookmarkStart w:id="22" w:name="_Toc85105514"/>
      <w:bookmarkStart w:id="23" w:name="_Toc33600363"/>
      <w:bookmarkStart w:id="24" w:name="_Toc33599705"/>
      <w:bookmarkStart w:id="25" w:name="_Toc33600412"/>
      <w:bookmarkStart w:id="26" w:name="_Toc85256280"/>
    </w:p>
    <w:p>
      <w:pPr>
        <w:pStyle w:val="2"/>
        <w:rPr>
          <w:highlight w:val="none"/>
        </w:rPr>
      </w:pPr>
      <w:bookmarkStart w:id="27" w:name="_Toc26189"/>
      <w:r>
        <w:rPr>
          <w:rFonts w:hint="eastAsia"/>
          <w:highlight w:val="none"/>
        </w:rPr>
        <w:t>5 认证申请</w:t>
      </w:r>
      <w:r>
        <w:rPr>
          <w:rFonts w:hint="eastAsia"/>
          <w:highlight w:val="none"/>
        </w:rPr>
        <w:t>及评审</w:t>
      </w:r>
      <w:bookmarkEnd w:id="27"/>
    </w:p>
    <w:p>
      <w:pPr>
        <w:rPr>
          <w:b/>
          <w:bCs/>
          <w:sz w:val="24"/>
          <w:szCs w:val="32"/>
          <w:highlight w:val="none"/>
        </w:rPr>
      </w:pPr>
      <w:r>
        <w:rPr>
          <w:rFonts w:hint="eastAsia"/>
          <w:b/>
          <w:bCs/>
          <w:sz w:val="24"/>
          <w:szCs w:val="32"/>
          <w:highlight w:val="none"/>
        </w:rPr>
        <w:t>5.1</w:t>
      </w:r>
      <w:bookmarkEnd w:id="15"/>
      <w:bookmarkEnd w:id="16"/>
      <w:bookmarkEnd w:id="17"/>
      <w:bookmarkEnd w:id="18"/>
      <w:bookmarkEnd w:id="19"/>
      <w:bookmarkEnd w:id="20"/>
      <w:bookmarkEnd w:id="21"/>
      <w:bookmarkEnd w:id="22"/>
      <w:bookmarkEnd w:id="23"/>
      <w:bookmarkEnd w:id="24"/>
      <w:bookmarkEnd w:id="25"/>
      <w:bookmarkEnd w:id="26"/>
      <w:r>
        <w:rPr>
          <w:rFonts w:hint="eastAsia"/>
          <w:b/>
          <w:bCs/>
          <w:sz w:val="24"/>
          <w:szCs w:val="32"/>
          <w:highlight w:val="none"/>
        </w:rPr>
        <w:t>申请条件</w:t>
      </w:r>
    </w:p>
    <w:p>
      <w:pPr>
        <w:numPr>
          <w:ilvl w:val="0"/>
          <w:numId w:val="3"/>
        </w:numPr>
        <w:spacing w:line="360" w:lineRule="auto"/>
        <w:ind w:firstLine="6"/>
        <w:rPr>
          <w:rFonts w:hint="eastAsia" w:ascii="宋体" w:hAnsi="宋体"/>
          <w:sz w:val="24"/>
          <w:highlight w:val="none"/>
        </w:rPr>
      </w:pPr>
      <w:r>
        <w:rPr>
          <w:rFonts w:hint="eastAsia" w:ascii="宋体" w:hAnsi="宋体"/>
          <w:sz w:val="24"/>
          <w:highlight w:val="none"/>
        </w:rPr>
        <w:t xml:space="preserve">认证申请方应有明确的法律地位，可以承担法律责任； </w:t>
      </w:r>
    </w:p>
    <w:p>
      <w:pPr>
        <w:pStyle w:val="9"/>
        <w:numPr>
          <w:ilvl w:val="0"/>
          <w:numId w:val="3"/>
        </w:numPr>
        <w:spacing w:line="360" w:lineRule="auto"/>
        <w:ind w:leftChars="0" w:firstLine="6" w:firstLineChars="0"/>
        <w:rPr>
          <w:rFonts w:hint="eastAsia" w:ascii="宋体" w:hAnsi="宋体"/>
          <w:sz w:val="24"/>
          <w:highlight w:val="none"/>
        </w:rPr>
      </w:pPr>
      <w:r>
        <w:rPr>
          <w:rFonts w:hint="eastAsia" w:ascii="宋体" w:hAnsi="宋体"/>
          <w:sz w:val="24"/>
          <w:highlight w:val="none"/>
        </w:rPr>
        <w:t>受审核方可以是申请认证方，也可以是申请认证方的一部分或是其下属单位，但该部分或下属单位必须具有行政管理职能，能够按照HSE管理体系的要求独立运行；</w:t>
      </w:r>
    </w:p>
    <w:p>
      <w:pPr>
        <w:pStyle w:val="9"/>
        <w:numPr>
          <w:ilvl w:val="0"/>
          <w:numId w:val="3"/>
        </w:numPr>
        <w:spacing w:line="360" w:lineRule="auto"/>
        <w:ind w:leftChars="0" w:firstLine="6" w:firstLineChars="0"/>
        <w:rPr>
          <w:rFonts w:hint="eastAsia" w:ascii="宋体" w:hAnsi="宋体"/>
          <w:sz w:val="24"/>
          <w:highlight w:val="none"/>
        </w:rPr>
      </w:pPr>
      <w:r>
        <w:rPr>
          <w:rFonts w:hint="eastAsia" w:ascii="宋体" w:hAnsi="宋体"/>
          <w:sz w:val="24"/>
          <w:highlight w:val="none"/>
        </w:rPr>
        <w:t>申请认证范围应在法律地位文件和资质规定的范围内；</w:t>
      </w:r>
    </w:p>
    <w:p>
      <w:pPr>
        <w:numPr>
          <w:ilvl w:val="0"/>
          <w:numId w:val="3"/>
        </w:numPr>
        <w:spacing w:line="360" w:lineRule="auto"/>
        <w:ind w:firstLine="6"/>
        <w:rPr>
          <w:rFonts w:hint="eastAsia" w:ascii="宋体" w:hAnsi="宋体"/>
          <w:sz w:val="24"/>
          <w:highlight w:val="none"/>
        </w:rPr>
      </w:pPr>
      <w:r>
        <w:rPr>
          <w:rFonts w:hint="eastAsia" w:ascii="宋体" w:hAnsi="宋体"/>
          <w:sz w:val="24"/>
          <w:highlight w:val="none"/>
        </w:rPr>
        <w:t>受审核方建立了文件化的HSE管理体系，现场认证前已正式运行了3个月，已完成了内审和管理评审；</w:t>
      </w:r>
    </w:p>
    <w:p>
      <w:pPr>
        <w:numPr>
          <w:ilvl w:val="0"/>
          <w:numId w:val="3"/>
        </w:numPr>
        <w:spacing w:line="360" w:lineRule="auto"/>
        <w:ind w:firstLine="6"/>
        <w:rPr>
          <w:rFonts w:hint="eastAsia" w:ascii="宋体" w:hAnsi="宋体"/>
          <w:sz w:val="24"/>
          <w:highlight w:val="none"/>
        </w:rPr>
      </w:pPr>
      <w:r>
        <w:rPr>
          <w:rFonts w:hint="eastAsia" w:ascii="宋体" w:hAnsi="宋体"/>
          <w:sz w:val="24"/>
          <w:highlight w:val="none"/>
        </w:rPr>
        <w:t xml:space="preserve">受审核方承诺遵守国家、行业和地方的有关HSE的法律法规、政策、标准和其他要求； </w:t>
      </w:r>
    </w:p>
    <w:p>
      <w:pPr>
        <w:numPr>
          <w:ilvl w:val="0"/>
          <w:numId w:val="3"/>
        </w:numPr>
        <w:tabs>
          <w:tab w:val="left" w:pos="300"/>
          <w:tab w:val="left" w:pos="690"/>
        </w:tabs>
        <w:spacing w:line="360" w:lineRule="auto"/>
        <w:ind w:firstLine="6"/>
        <w:rPr>
          <w:rFonts w:hint="eastAsia" w:ascii="宋体" w:hAnsi="宋体"/>
          <w:sz w:val="24"/>
          <w:highlight w:val="none"/>
        </w:rPr>
      </w:pPr>
      <w:r>
        <w:rPr>
          <w:rFonts w:hint="eastAsia" w:ascii="宋体" w:hAnsi="宋体"/>
          <w:sz w:val="24"/>
          <w:highlight w:val="none"/>
        </w:rPr>
        <w:t xml:space="preserve"> 受审核方应承诺始终遵守认证的有关规定，承诺按合同约定和法律规定承担与认证有关的相关法律责任；</w:t>
      </w:r>
    </w:p>
    <w:p>
      <w:pPr>
        <w:numPr>
          <w:ilvl w:val="0"/>
          <w:numId w:val="3"/>
        </w:numPr>
        <w:spacing w:line="360" w:lineRule="auto"/>
        <w:ind w:firstLine="6"/>
        <w:jc w:val="left"/>
        <w:rPr>
          <w:rFonts w:hint="eastAsia" w:ascii="宋体" w:hAnsi="宋体"/>
          <w:sz w:val="24"/>
          <w:highlight w:val="none"/>
        </w:rPr>
      </w:pPr>
      <w:r>
        <w:rPr>
          <w:rFonts w:hint="eastAsia" w:ascii="宋体" w:hAnsi="宋体"/>
          <w:sz w:val="24"/>
          <w:highlight w:val="none"/>
        </w:rPr>
        <w:t>受审核方应承诺获得方圆HSE管理体系认证后，按规定使用证书和标志，按合同支付认证费用，按规定接受监督。</w:t>
      </w:r>
    </w:p>
    <w:p>
      <w:pPr>
        <w:rPr>
          <w:b/>
          <w:bCs/>
          <w:sz w:val="24"/>
          <w:szCs w:val="32"/>
          <w:highlight w:val="none"/>
        </w:rPr>
      </w:pPr>
      <w:bookmarkStart w:id="28" w:name="_Toc522697767"/>
      <w:r>
        <w:rPr>
          <w:rFonts w:hint="eastAsia"/>
          <w:b/>
          <w:bCs/>
          <w:sz w:val="24"/>
          <w:szCs w:val="32"/>
          <w:highlight w:val="none"/>
        </w:rPr>
        <w:t>5.2认证申请</w:t>
      </w:r>
      <w:bookmarkEnd w:id="28"/>
    </w:p>
    <w:p>
      <w:pPr>
        <w:pStyle w:val="7"/>
        <w:spacing w:after="0" w:line="360" w:lineRule="auto"/>
        <w:ind w:firstLine="480" w:firstLineChars="200"/>
        <w:rPr>
          <w:rFonts w:hint="eastAsia" w:ascii="宋体" w:hAnsi="宋体"/>
          <w:sz w:val="24"/>
          <w:highlight w:val="none"/>
        </w:rPr>
      </w:pPr>
      <w:r>
        <w:rPr>
          <w:rFonts w:hint="eastAsia" w:ascii="宋体" w:hAnsi="宋体"/>
          <w:sz w:val="24"/>
          <w:highlight w:val="none"/>
        </w:rPr>
        <w:t>认证申请方应使用方圆集团公司制定的统一认证申请书，并按照要求全面填写有关信息。</w:t>
      </w:r>
    </w:p>
    <w:p>
      <w:pPr>
        <w:pStyle w:val="7"/>
        <w:spacing w:after="0" w:line="360" w:lineRule="auto"/>
        <w:ind w:firstLine="480" w:firstLineChars="200"/>
        <w:rPr>
          <w:rFonts w:hint="eastAsia" w:ascii="宋体" w:hAnsi="宋体"/>
          <w:sz w:val="24"/>
          <w:highlight w:val="none"/>
        </w:rPr>
      </w:pPr>
      <w:r>
        <w:rPr>
          <w:rFonts w:hint="eastAsia" w:ascii="宋体" w:hAnsi="宋体"/>
          <w:sz w:val="24"/>
          <w:highlight w:val="none"/>
        </w:rPr>
        <w:t>应提供如下资料：</w:t>
      </w:r>
    </w:p>
    <w:p>
      <w:pPr>
        <w:numPr>
          <w:ilvl w:val="0"/>
          <w:numId w:val="4"/>
        </w:numPr>
        <w:tabs>
          <w:tab w:val="left" w:pos="300"/>
          <w:tab w:val="left" w:pos="690"/>
        </w:tabs>
        <w:spacing w:line="360" w:lineRule="auto"/>
        <w:ind w:firstLine="6"/>
        <w:rPr>
          <w:rFonts w:hint="eastAsia" w:ascii="宋体" w:hAnsi="宋体"/>
          <w:sz w:val="24"/>
          <w:highlight w:val="none"/>
        </w:rPr>
      </w:pPr>
      <w:r>
        <w:rPr>
          <w:rFonts w:ascii="宋体" w:hAnsi="宋体"/>
          <w:sz w:val="24"/>
          <w:highlight w:val="none"/>
        </w:rPr>
        <w:t>环</w:t>
      </w:r>
      <w:r>
        <w:rPr>
          <w:rFonts w:hint="eastAsia" w:ascii="宋体" w:hAnsi="宋体"/>
          <w:sz w:val="24"/>
          <w:highlight w:val="none"/>
        </w:rPr>
        <w:t>、安、能、消、职评</w:t>
      </w:r>
      <w:r>
        <w:rPr>
          <w:rFonts w:ascii="宋体" w:hAnsi="宋体"/>
          <w:sz w:val="24"/>
          <w:highlight w:val="none"/>
        </w:rPr>
        <w:t>报告、批复</w:t>
      </w:r>
      <w:r>
        <w:rPr>
          <w:rFonts w:hint="eastAsia" w:ascii="宋体" w:hAnsi="宋体"/>
          <w:sz w:val="24"/>
          <w:highlight w:val="none"/>
        </w:rPr>
        <w:t>；三同时</w:t>
      </w:r>
      <w:r>
        <w:rPr>
          <w:rFonts w:ascii="宋体" w:hAnsi="宋体"/>
          <w:sz w:val="24"/>
          <w:highlight w:val="none"/>
        </w:rPr>
        <w:t>验收</w:t>
      </w:r>
      <w:r>
        <w:rPr>
          <w:rFonts w:hint="eastAsia" w:ascii="宋体" w:hAnsi="宋体"/>
          <w:sz w:val="24"/>
          <w:highlight w:val="none"/>
        </w:rPr>
        <w:t>并</w:t>
      </w:r>
      <w:r>
        <w:rPr>
          <w:rFonts w:ascii="宋体" w:hAnsi="宋体"/>
          <w:sz w:val="24"/>
          <w:highlight w:val="none"/>
        </w:rPr>
        <w:t>批复等文件以及法律法规规定</w:t>
      </w:r>
    </w:p>
    <w:p>
      <w:pPr>
        <w:tabs>
          <w:tab w:val="left" w:pos="300"/>
          <w:tab w:val="left" w:pos="690"/>
        </w:tabs>
        <w:spacing w:line="360" w:lineRule="auto"/>
        <w:ind w:left="426" w:leftChars="203" w:firstLine="240" w:firstLineChars="100"/>
        <w:rPr>
          <w:rFonts w:hint="eastAsia" w:ascii="宋体" w:hAnsi="宋体"/>
          <w:sz w:val="24"/>
          <w:highlight w:val="none"/>
        </w:rPr>
      </w:pPr>
      <w:r>
        <w:rPr>
          <w:rFonts w:ascii="宋体" w:hAnsi="宋体"/>
          <w:sz w:val="24"/>
          <w:highlight w:val="none"/>
        </w:rPr>
        <w:t>的</w:t>
      </w:r>
      <w:r>
        <w:rPr>
          <w:rFonts w:hint="eastAsia" w:ascii="宋体" w:hAnsi="宋体"/>
          <w:sz w:val="24"/>
          <w:highlight w:val="none"/>
        </w:rPr>
        <w:t>全部</w:t>
      </w:r>
      <w:r>
        <w:rPr>
          <w:rFonts w:ascii="宋体" w:hAnsi="宋体"/>
          <w:sz w:val="24"/>
          <w:highlight w:val="none"/>
        </w:rPr>
        <w:t>资质证书</w:t>
      </w:r>
      <w:r>
        <w:rPr>
          <w:rFonts w:hint="eastAsia" w:ascii="宋体" w:hAnsi="宋体"/>
          <w:sz w:val="24"/>
          <w:highlight w:val="none"/>
        </w:rPr>
        <w:t>；</w:t>
      </w:r>
    </w:p>
    <w:p>
      <w:pPr>
        <w:numPr>
          <w:ilvl w:val="0"/>
          <w:numId w:val="4"/>
        </w:numPr>
        <w:tabs>
          <w:tab w:val="left" w:pos="300"/>
          <w:tab w:val="left" w:pos="690"/>
        </w:tabs>
        <w:spacing w:line="360" w:lineRule="auto"/>
        <w:ind w:firstLine="6"/>
        <w:rPr>
          <w:rFonts w:hint="eastAsia" w:ascii="宋体" w:hAnsi="宋体"/>
          <w:sz w:val="24"/>
          <w:highlight w:val="none"/>
        </w:rPr>
      </w:pPr>
      <w:r>
        <w:rPr>
          <w:rFonts w:hint="eastAsia" w:ascii="宋体" w:hAnsi="宋体"/>
          <w:sz w:val="24"/>
          <w:highlight w:val="none"/>
        </w:rPr>
        <w:t>淘汰落后设备、工艺合规证据；（设计输入法规的合规性、淘汰计划等）；</w:t>
      </w:r>
    </w:p>
    <w:p>
      <w:pPr>
        <w:numPr>
          <w:ilvl w:val="0"/>
          <w:numId w:val="4"/>
        </w:numPr>
        <w:tabs>
          <w:tab w:val="left" w:pos="300"/>
          <w:tab w:val="left" w:pos="690"/>
        </w:tabs>
        <w:spacing w:line="360" w:lineRule="auto"/>
        <w:ind w:firstLine="6"/>
        <w:rPr>
          <w:rFonts w:hint="eastAsia" w:ascii="宋体" w:hAnsi="宋体"/>
          <w:sz w:val="24"/>
          <w:highlight w:val="none"/>
        </w:rPr>
      </w:pPr>
      <w:r>
        <w:rPr>
          <w:rFonts w:hint="eastAsia" w:ascii="宋体" w:hAnsi="宋体"/>
          <w:sz w:val="24"/>
          <w:highlight w:val="none"/>
        </w:rPr>
        <w:t>污染物总量控制；</w:t>
      </w:r>
    </w:p>
    <w:p>
      <w:pPr>
        <w:numPr>
          <w:ilvl w:val="0"/>
          <w:numId w:val="4"/>
        </w:numPr>
        <w:tabs>
          <w:tab w:val="left" w:pos="300"/>
          <w:tab w:val="left" w:pos="690"/>
        </w:tabs>
        <w:spacing w:line="360" w:lineRule="auto"/>
        <w:ind w:firstLine="6"/>
        <w:rPr>
          <w:rFonts w:hint="eastAsia" w:ascii="宋体" w:hAnsi="宋体"/>
          <w:sz w:val="24"/>
          <w:highlight w:val="none"/>
        </w:rPr>
      </w:pPr>
      <w:r>
        <w:rPr>
          <w:rFonts w:hint="eastAsia" w:ascii="宋体" w:hAnsi="宋体"/>
          <w:sz w:val="24"/>
          <w:highlight w:val="none"/>
        </w:rPr>
        <w:t>特征污染物控制持续优化；</w:t>
      </w:r>
    </w:p>
    <w:p>
      <w:pPr>
        <w:numPr>
          <w:ilvl w:val="0"/>
          <w:numId w:val="4"/>
        </w:numPr>
        <w:tabs>
          <w:tab w:val="left" w:pos="300"/>
          <w:tab w:val="left" w:pos="690"/>
        </w:tabs>
        <w:spacing w:line="360" w:lineRule="auto"/>
        <w:ind w:firstLine="6"/>
        <w:rPr>
          <w:rFonts w:hint="eastAsia" w:ascii="宋体" w:hAnsi="宋体"/>
          <w:sz w:val="24"/>
          <w:highlight w:val="none"/>
        </w:rPr>
      </w:pPr>
      <w:r>
        <w:rPr>
          <w:rFonts w:hint="eastAsia" w:ascii="宋体" w:hAnsi="宋体"/>
          <w:sz w:val="24"/>
          <w:highlight w:val="none"/>
        </w:rPr>
        <w:t>国家推广的重点污染治理及节能减排技术利用情况及效果；</w:t>
      </w:r>
    </w:p>
    <w:p>
      <w:pPr>
        <w:numPr>
          <w:ilvl w:val="0"/>
          <w:numId w:val="4"/>
        </w:numPr>
        <w:tabs>
          <w:tab w:val="left" w:pos="300"/>
          <w:tab w:val="left" w:pos="690"/>
        </w:tabs>
        <w:spacing w:line="360" w:lineRule="auto"/>
        <w:ind w:firstLine="6"/>
        <w:rPr>
          <w:rFonts w:hint="eastAsia" w:ascii="宋体" w:hAnsi="宋体"/>
          <w:sz w:val="24"/>
          <w:highlight w:val="none"/>
        </w:rPr>
      </w:pPr>
      <w:r>
        <w:rPr>
          <w:rFonts w:hint="eastAsia" w:ascii="宋体" w:hAnsi="宋体"/>
          <w:sz w:val="24"/>
          <w:highlight w:val="none"/>
        </w:rPr>
        <w:t>重大危险源辨识、风险认证、登记、备案、控制、应急管理等；</w:t>
      </w:r>
    </w:p>
    <w:p>
      <w:pPr>
        <w:numPr>
          <w:ilvl w:val="0"/>
          <w:numId w:val="4"/>
        </w:numPr>
        <w:tabs>
          <w:tab w:val="left" w:pos="300"/>
          <w:tab w:val="left" w:pos="690"/>
        </w:tabs>
        <w:spacing w:line="360" w:lineRule="auto"/>
        <w:ind w:firstLine="6"/>
        <w:rPr>
          <w:rFonts w:hint="eastAsia" w:ascii="宋体" w:hAnsi="宋体"/>
          <w:sz w:val="24"/>
          <w:highlight w:val="none"/>
        </w:rPr>
      </w:pPr>
      <w:r>
        <w:rPr>
          <w:rFonts w:hint="eastAsia" w:ascii="宋体" w:hAnsi="宋体"/>
          <w:sz w:val="24"/>
          <w:highlight w:val="none"/>
        </w:rPr>
        <w:t>甲乙类火灾风险控制对策及绩效；</w:t>
      </w:r>
    </w:p>
    <w:p>
      <w:pPr>
        <w:numPr>
          <w:ilvl w:val="0"/>
          <w:numId w:val="4"/>
        </w:numPr>
        <w:tabs>
          <w:tab w:val="left" w:pos="300"/>
          <w:tab w:val="left" w:pos="690"/>
        </w:tabs>
        <w:spacing w:line="360" w:lineRule="auto"/>
        <w:ind w:firstLine="6"/>
        <w:rPr>
          <w:rFonts w:hint="eastAsia" w:ascii="宋体" w:hAnsi="宋体"/>
          <w:sz w:val="24"/>
          <w:highlight w:val="none"/>
        </w:rPr>
      </w:pPr>
      <w:r>
        <w:rPr>
          <w:rFonts w:hint="eastAsia" w:ascii="宋体" w:hAnsi="宋体"/>
          <w:sz w:val="24"/>
          <w:highlight w:val="none"/>
        </w:rPr>
        <w:t>与重大危险源、甲乙类火灾风险控制有关的相关方承包的项目管理及控制；</w:t>
      </w:r>
    </w:p>
    <w:p>
      <w:pPr>
        <w:numPr>
          <w:ilvl w:val="0"/>
          <w:numId w:val="4"/>
        </w:numPr>
        <w:tabs>
          <w:tab w:val="left" w:pos="300"/>
          <w:tab w:val="left" w:pos="690"/>
        </w:tabs>
        <w:spacing w:line="360" w:lineRule="auto"/>
        <w:ind w:firstLine="6"/>
        <w:rPr>
          <w:rFonts w:hint="eastAsia" w:ascii="宋体" w:hAnsi="宋体"/>
          <w:sz w:val="24"/>
          <w:highlight w:val="none"/>
        </w:rPr>
      </w:pPr>
      <w:r>
        <w:rPr>
          <w:rFonts w:hint="eastAsia" w:ascii="宋体" w:hAnsi="宋体"/>
          <w:sz w:val="24"/>
          <w:highlight w:val="none"/>
        </w:rPr>
        <w:t>工作场所有害因素日常、周期控制及监测；</w:t>
      </w:r>
    </w:p>
    <w:p>
      <w:pPr>
        <w:numPr>
          <w:ilvl w:val="0"/>
          <w:numId w:val="4"/>
        </w:numPr>
        <w:tabs>
          <w:tab w:val="left" w:pos="300"/>
          <w:tab w:val="left" w:pos="690"/>
        </w:tabs>
        <w:spacing w:line="360" w:lineRule="auto"/>
        <w:ind w:firstLine="6"/>
        <w:rPr>
          <w:rFonts w:hint="eastAsia" w:ascii="宋体" w:hAnsi="宋体"/>
          <w:sz w:val="24"/>
          <w:highlight w:val="none"/>
        </w:rPr>
      </w:pPr>
      <w:r>
        <w:rPr>
          <w:rFonts w:hint="eastAsia" w:ascii="宋体" w:hAnsi="宋体"/>
          <w:sz w:val="24"/>
          <w:highlight w:val="none"/>
        </w:rPr>
        <w:t>隐患治理绩效；</w:t>
      </w:r>
    </w:p>
    <w:p>
      <w:pPr>
        <w:numPr>
          <w:ilvl w:val="0"/>
          <w:numId w:val="4"/>
        </w:numPr>
        <w:tabs>
          <w:tab w:val="left" w:pos="300"/>
          <w:tab w:val="left" w:pos="690"/>
        </w:tabs>
        <w:spacing w:line="360" w:lineRule="auto"/>
        <w:ind w:firstLine="6"/>
        <w:rPr>
          <w:rFonts w:hint="eastAsia" w:ascii="宋体" w:hAnsi="宋体"/>
          <w:sz w:val="24"/>
          <w:highlight w:val="none"/>
        </w:rPr>
      </w:pPr>
      <w:r>
        <w:rPr>
          <w:rFonts w:hint="eastAsia" w:ascii="宋体" w:hAnsi="宋体"/>
          <w:sz w:val="24"/>
          <w:highlight w:val="none"/>
        </w:rPr>
        <w:t>重大技术改造动态信息（过去完成、现在进行、将来计划）；</w:t>
      </w:r>
    </w:p>
    <w:p>
      <w:pPr>
        <w:numPr>
          <w:ilvl w:val="0"/>
          <w:numId w:val="4"/>
        </w:numPr>
        <w:tabs>
          <w:tab w:val="left" w:pos="300"/>
          <w:tab w:val="left" w:pos="690"/>
        </w:tabs>
        <w:spacing w:line="360" w:lineRule="auto"/>
        <w:ind w:firstLine="6"/>
        <w:rPr>
          <w:rFonts w:hint="eastAsia" w:ascii="宋体" w:hAnsi="宋体"/>
          <w:sz w:val="24"/>
          <w:highlight w:val="none"/>
        </w:rPr>
      </w:pPr>
      <w:r>
        <w:rPr>
          <w:rFonts w:hint="eastAsia" w:ascii="宋体" w:hAnsi="宋体"/>
          <w:sz w:val="24"/>
          <w:highlight w:val="none"/>
        </w:rPr>
        <w:t>职业病防治及绩效认证；</w:t>
      </w:r>
    </w:p>
    <w:p>
      <w:pPr>
        <w:numPr>
          <w:ilvl w:val="0"/>
          <w:numId w:val="4"/>
        </w:numPr>
        <w:tabs>
          <w:tab w:val="left" w:pos="300"/>
          <w:tab w:val="left" w:pos="690"/>
        </w:tabs>
        <w:spacing w:line="360" w:lineRule="auto"/>
        <w:ind w:firstLine="6"/>
        <w:rPr>
          <w:rFonts w:hint="eastAsia" w:ascii="宋体" w:hAnsi="宋体"/>
          <w:sz w:val="24"/>
          <w:highlight w:val="none"/>
        </w:rPr>
      </w:pPr>
      <w:r>
        <w:rPr>
          <w:rFonts w:hint="eastAsia" w:ascii="宋体" w:hAnsi="宋体"/>
          <w:sz w:val="24"/>
          <w:highlight w:val="none"/>
        </w:rPr>
        <w:t>不可接受风险或控制措施的有效性的认证准则及控制绩效等；</w:t>
      </w:r>
    </w:p>
    <w:p>
      <w:pPr>
        <w:numPr>
          <w:ilvl w:val="0"/>
          <w:numId w:val="4"/>
        </w:numPr>
        <w:tabs>
          <w:tab w:val="left" w:pos="300"/>
          <w:tab w:val="left" w:pos="690"/>
        </w:tabs>
        <w:spacing w:line="360" w:lineRule="auto"/>
        <w:ind w:firstLine="6"/>
        <w:rPr>
          <w:rFonts w:hint="eastAsia" w:ascii="宋体" w:hAnsi="宋体"/>
          <w:sz w:val="24"/>
          <w:highlight w:val="none"/>
        </w:rPr>
      </w:pPr>
      <w:r>
        <w:rPr>
          <w:rFonts w:hint="eastAsia" w:ascii="宋体" w:hAnsi="宋体"/>
          <w:sz w:val="24"/>
          <w:highlight w:val="none"/>
        </w:rPr>
        <w:t>消防、报警、防爆、接地等设备及监测设备有效性确认或校验制度；</w:t>
      </w:r>
    </w:p>
    <w:p>
      <w:pPr>
        <w:numPr>
          <w:ilvl w:val="0"/>
          <w:numId w:val="4"/>
        </w:numPr>
        <w:tabs>
          <w:tab w:val="left" w:pos="300"/>
          <w:tab w:val="left" w:pos="690"/>
        </w:tabs>
        <w:spacing w:line="360" w:lineRule="auto"/>
        <w:ind w:firstLine="6"/>
        <w:rPr>
          <w:rFonts w:hint="eastAsia" w:ascii="宋体" w:hAnsi="宋体"/>
          <w:sz w:val="24"/>
          <w:highlight w:val="none"/>
        </w:rPr>
      </w:pPr>
      <w:r>
        <w:rPr>
          <w:rFonts w:hint="eastAsia" w:ascii="宋体" w:hAnsi="宋体"/>
          <w:sz w:val="24"/>
          <w:highlight w:val="none"/>
        </w:rPr>
        <w:t>与重大危险源、甲乙类火灾风险控制有关的特种设备管理及认证；</w:t>
      </w:r>
    </w:p>
    <w:p>
      <w:pPr>
        <w:numPr>
          <w:ilvl w:val="0"/>
          <w:numId w:val="4"/>
        </w:numPr>
        <w:tabs>
          <w:tab w:val="left" w:pos="300"/>
          <w:tab w:val="left" w:pos="690"/>
        </w:tabs>
        <w:spacing w:line="360" w:lineRule="auto"/>
        <w:ind w:firstLine="6"/>
        <w:rPr>
          <w:rFonts w:hint="eastAsia" w:ascii="宋体" w:hAnsi="宋体"/>
          <w:sz w:val="24"/>
          <w:highlight w:val="none"/>
        </w:rPr>
      </w:pPr>
      <w:r>
        <w:rPr>
          <w:rFonts w:hint="eastAsia" w:ascii="宋体" w:hAnsi="宋体"/>
          <w:sz w:val="24"/>
          <w:highlight w:val="none"/>
        </w:rPr>
        <w:t>其他资料同EMS、OHSMS管理体系。</w:t>
      </w:r>
    </w:p>
    <w:p>
      <w:pPr>
        <w:pStyle w:val="7"/>
        <w:spacing w:after="0" w:line="360" w:lineRule="auto"/>
        <w:ind w:firstLine="480" w:firstLineChars="200"/>
        <w:rPr>
          <w:rFonts w:hint="eastAsia" w:ascii="宋体" w:hAnsi="宋体"/>
          <w:sz w:val="24"/>
          <w:highlight w:val="none"/>
        </w:rPr>
      </w:pPr>
      <w:r>
        <w:rPr>
          <w:rFonts w:hint="eastAsia" w:ascii="宋体" w:hAnsi="宋体"/>
          <w:sz w:val="24"/>
          <w:highlight w:val="none"/>
        </w:rPr>
        <w:t>依据认证申请方的需求、受审核方及其管理体系的信息、人力资源等对认证申请方的申请进行评审，签订合同。</w:t>
      </w:r>
    </w:p>
    <w:p>
      <w:pPr>
        <w:spacing w:line="360" w:lineRule="auto"/>
        <w:rPr>
          <w:rFonts w:ascii="Arial" w:hAnsi="Arial" w:cs="Arial"/>
          <w:color w:val="000000"/>
          <w:sz w:val="24"/>
          <w:highlight w:val="none"/>
        </w:rPr>
      </w:pPr>
      <w:r>
        <w:rPr>
          <w:rFonts w:hint="eastAsia" w:ascii="Arial" w:hAnsi="Arial" w:cs="Arial"/>
          <w:color w:val="000000"/>
          <w:sz w:val="24"/>
          <w:highlight w:val="none"/>
        </w:rPr>
        <w:t>5.3 申请评审</w:t>
      </w:r>
    </w:p>
    <w:p>
      <w:pPr>
        <w:spacing w:line="360" w:lineRule="auto"/>
        <w:ind w:firstLine="480" w:firstLineChars="200"/>
        <w:rPr>
          <w:rFonts w:hint="eastAsia" w:ascii="宋体" w:hAnsi="宋体"/>
          <w:color w:val="000000"/>
          <w:sz w:val="24"/>
          <w:highlight w:val="none"/>
        </w:rPr>
      </w:pPr>
      <w:r>
        <w:rPr>
          <w:rFonts w:hint="eastAsia" w:ascii="宋体" w:hAnsi="宋体"/>
          <w:color w:val="000000"/>
          <w:sz w:val="24"/>
          <w:highlight w:val="none"/>
        </w:rPr>
        <w:t>符合以下条件时，可受理认证申请：</w:t>
      </w:r>
    </w:p>
    <w:p>
      <w:pPr>
        <w:spacing w:line="360" w:lineRule="auto"/>
        <w:rPr>
          <w:rFonts w:hint="eastAsia" w:ascii="宋体" w:hAnsi="宋体"/>
          <w:color w:val="000000"/>
          <w:sz w:val="24"/>
          <w:highlight w:val="none"/>
        </w:rPr>
      </w:pPr>
      <w:r>
        <w:rPr>
          <w:rFonts w:hint="eastAsia" w:ascii="宋体" w:hAnsi="宋体"/>
          <w:color w:val="000000"/>
          <w:sz w:val="24"/>
          <w:highlight w:val="none"/>
        </w:rPr>
        <w:t>a）认证客户满足</w:t>
      </w:r>
      <w:r>
        <w:rPr>
          <w:rFonts w:hint="eastAsia" w:ascii="宋体" w:hAnsi="宋体"/>
          <w:color w:val="000000"/>
          <w:sz w:val="24"/>
          <w:highlight w:val="none"/>
          <w:lang w:val="en-US" w:eastAsia="zh-CN"/>
        </w:rPr>
        <w:t>5</w:t>
      </w:r>
      <w:r>
        <w:rPr>
          <w:rFonts w:hint="eastAsia" w:ascii="宋体" w:hAnsi="宋体"/>
          <w:color w:val="000000"/>
          <w:sz w:val="24"/>
          <w:highlight w:val="none"/>
        </w:rPr>
        <w:t>.1的要求可受理认证申请；</w:t>
      </w:r>
    </w:p>
    <w:p>
      <w:pPr>
        <w:spacing w:line="360" w:lineRule="auto"/>
        <w:rPr>
          <w:rFonts w:hint="eastAsia" w:ascii="宋体" w:hAnsi="宋体"/>
          <w:color w:val="000000"/>
          <w:sz w:val="24"/>
          <w:highlight w:val="none"/>
        </w:rPr>
      </w:pPr>
      <w:r>
        <w:rPr>
          <w:rFonts w:hint="eastAsia" w:ascii="宋体" w:hAnsi="宋体"/>
          <w:color w:val="000000"/>
          <w:sz w:val="24"/>
          <w:highlight w:val="none"/>
        </w:rPr>
        <w:t>b）CQM具备实施认证的能力；</w:t>
      </w:r>
    </w:p>
    <w:p>
      <w:pPr>
        <w:spacing w:line="360" w:lineRule="auto"/>
        <w:rPr>
          <w:rFonts w:hint="eastAsia" w:ascii="宋体" w:hAnsi="宋体"/>
          <w:color w:val="000000"/>
          <w:sz w:val="24"/>
          <w:highlight w:val="none"/>
        </w:rPr>
      </w:pPr>
      <w:r>
        <w:rPr>
          <w:rFonts w:hint="eastAsia" w:ascii="宋体" w:hAnsi="宋体"/>
          <w:color w:val="000000"/>
          <w:sz w:val="24"/>
          <w:highlight w:val="none"/>
        </w:rPr>
        <w:t>c）CQM与认证客户就相关事宜达成一致。</w:t>
      </w:r>
    </w:p>
    <w:p>
      <w:pPr>
        <w:pStyle w:val="2"/>
        <w:spacing w:line="600" w:lineRule="auto"/>
        <w:rPr>
          <w:rFonts w:hint="eastAsia" w:ascii="宋体" w:hAnsi="宋体"/>
          <w:color w:val="C00000"/>
          <w:highlight w:val="none"/>
        </w:rPr>
      </w:pPr>
      <w:bookmarkStart w:id="29" w:name="_Toc3502"/>
      <w:bookmarkStart w:id="30" w:name="_Toc9070"/>
      <w:bookmarkStart w:id="31" w:name="_Toc31362"/>
      <w:bookmarkStart w:id="32" w:name="_Toc32057"/>
      <w:bookmarkStart w:id="33" w:name="_Toc32206"/>
      <w:r>
        <w:rPr>
          <w:rFonts w:hint="eastAsia" w:ascii="宋体" w:hAnsi="宋体"/>
          <w:highlight w:val="none"/>
        </w:rPr>
        <w:t xml:space="preserve">6 </w:t>
      </w:r>
      <w:bookmarkEnd w:id="29"/>
      <w:bookmarkEnd w:id="30"/>
      <w:bookmarkEnd w:id="31"/>
      <w:r>
        <w:rPr>
          <w:rFonts w:hint="eastAsia" w:ascii="宋体" w:hAnsi="宋体"/>
          <w:highlight w:val="none"/>
        </w:rPr>
        <w:t>审核方案策划</w:t>
      </w:r>
      <w:bookmarkEnd w:id="32"/>
      <w:bookmarkEnd w:id="33"/>
    </w:p>
    <w:p>
      <w:pPr>
        <w:spacing w:line="360" w:lineRule="auto"/>
        <w:rPr>
          <w:rFonts w:hint="eastAsia" w:ascii="宋体" w:hAnsi="宋体" w:cs="宋体"/>
          <w:sz w:val="24"/>
          <w:highlight w:val="none"/>
        </w:rPr>
      </w:pPr>
      <w:r>
        <w:rPr>
          <w:rFonts w:hint="eastAsia" w:ascii="宋体" w:hAnsi="宋体" w:cs="宋体"/>
          <w:sz w:val="24"/>
          <w:highlight w:val="none"/>
        </w:rPr>
        <w:t>6.1 CQM根据每一个认证项目的申请信息，认证服务合同和审核目的，为每一个认证项目的整个认证周期进行策划和建立审核方案（包括结合审核方案）。</w:t>
      </w:r>
    </w:p>
    <w:p>
      <w:pPr>
        <w:spacing w:line="360" w:lineRule="auto"/>
        <w:rPr>
          <w:rFonts w:hint="eastAsia" w:ascii="宋体" w:hAnsi="宋体" w:cs="宋体"/>
          <w:sz w:val="24"/>
          <w:highlight w:val="none"/>
        </w:rPr>
      </w:pPr>
      <w:r>
        <w:rPr>
          <w:rFonts w:hint="eastAsia" w:ascii="宋体" w:hAnsi="宋体"/>
          <w:sz w:val="24"/>
          <w:highlight w:val="none"/>
        </w:rPr>
        <w:t xml:space="preserve">6.2 </w:t>
      </w:r>
      <w:r>
        <w:rPr>
          <w:rFonts w:hint="eastAsia" w:ascii="宋体" w:hAnsi="宋体" w:cs="宋体"/>
          <w:sz w:val="24"/>
          <w:highlight w:val="none"/>
        </w:rPr>
        <w:t>一个完整的认证周期审核方案包括两阶段初次审核（或再认证审核）、第一年与第二年的监督审核和第三年再认证到期前进行的再认证审核。第一个三年的认证周期从初次认证决定算起，以后的周期从再认证决定算起。</w:t>
      </w:r>
    </w:p>
    <w:p>
      <w:pPr>
        <w:widowControl/>
        <w:spacing w:line="360" w:lineRule="auto"/>
        <w:jc w:val="left"/>
        <w:rPr>
          <w:rFonts w:hint="eastAsia" w:ascii="宋体" w:hAnsi="宋体" w:cs="宋体"/>
          <w:kern w:val="0"/>
          <w:sz w:val="24"/>
          <w:highlight w:val="none"/>
        </w:rPr>
      </w:pPr>
      <w:r>
        <w:rPr>
          <w:rFonts w:hint="eastAsia" w:ascii="宋体" w:hAnsi="宋体"/>
          <w:sz w:val="24"/>
          <w:highlight w:val="none"/>
        </w:rPr>
        <w:t>6.3 监督审核应至少每个日历年（应进行再认证的年份除外）进行一次。初审/再认证后的第一次监督审核应在认证决定日期起</w:t>
      </w:r>
      <w:r>
        <w:rPr>
          <w:rFonts w:ascii="宋体" w:hAnsi="宋体" w:cs="Arial"/>
          <w:sz w:val="24"/>
          <w:highlight w:val="none"/>
        </w:rPr>
        <w:t>12</w:t>
      </w:r>
      <w:r>
        <w:rPr>
          <w:rFonts w:hint="eastAsia" w:ascii="宋体" w:hAnsi="宋体"/>
          <w:sz w:val="24"/>
          <w:highlight w:val="none"/>
        </w:rPr>
        <w:t>个月内进行；</w:t>
      </w:r>
      <w:r>
        <w:rPr>
          <w:rFonts w:hint="eastAsia" w:ascii="宋体" w:hAnsi="宋体" w:cs="宋体"/>
          <w:kern w:val="0"/>
          <w:sz w:val="24"/>
          <w:highlight w:val="none"/>
        </w:rPr>
        <w:t xml:space="preserve">此后，监督审核应至少每个日历年（应进行再认证的年份除外）进行一次，且两次监督审核的时间间隔不得超过15个月。 </w:t>
      </w:r>
    </w:p>
    <w:p>
      <w:pPr>
        <w:spacing w:line="360" w:lineRule="auto"/>
        <w:jc w:val="left"/>
        <w:rPr>
          <w:rFonts w:hint="eastAsia" w:ascii="宋体" w:hAnsi="宋体" w:cs="宋体"/>
          <w:kern w:val="0"/>
          <w:sz w:val="24"/>
          <w:highlight w:val="none"/>
        </w:rPr>
      </w:pPr>
      <w:r>
        <w:rPr>
          <w:rFonts w:hint="eastAsia" w:ascii="宋体" w:hAnsi="宋体" w:cs="宋体"/>
          <w:kern w:val="0"/>
          <w:sz w:val="24"/>
          <w:highlight w:val="none"/>
        </w:rPr>
        <w:t>6.4 审核方案的确定和任何后续调整应考虑客户的规模，其管理体系、产品和过程的范围与复杂程度，以及经过证实的管理体系有效性水平和以前审核的结果。</w:t>
      </w:r>
    </w:p>
    <w:p>
      <w:pPr>
        <w:pStyle w:val="7"/>
        <w:spacing w:after="0" w:line="360" w:lineRule="auto"/>
        <w:rPr>
          <w:rFonts w:hint="eastAsia" w:ascii="宋体" w:hAnsi="宋体"/>
          <w:sz w:val="24"/>
          <w:highlight w:val="none"/>
        </w:rPr>
      </w:pPr>
    </w:p>
    <w:p>
      <w:pPr>
        <w:pStyle w:val="2"/>
        <w:rPr>
          <w:highlight w:val="none"/>
        </w:rPr>
      </w:pPr>
      <w:bookmarkStart w:id="34" w:name="_Toc522697768"/>
      <w:bookmarkStart w:id="35" w:name="_Toc641"/>
      <w:r>
        <w:rPr>
          <w:rFonts w:hint="eastAsia"/>
          <w:highlight w:val="none"/>
        </w:rPr>
        <w:t>7 认证实施</w:t>
      </w:r>
      <w:bookmarkEnd w:id="34"/>
      <w:bookmarkEnd w:id="35"/>
    </w:p>
    <w:p>
      <w:pPr>
        <w:pStyle w:val="3"/>
        <w:rPr>
          <w:rFonts w:hint="eastAsia" w:ascii="宋体" w:hAnsi="宋体" w:eastAsia="宋体"/>
          <w:sz w:val="28"/>
          <w:szCs w:val="28"/>
          <w:highlight w:val="none"/>
        </w:rPr>
      </w:pPr>
      <w:bookmarkStart w:id="36" w:name="_Toc522697769"/>
      <w:r>
        <w:rPr>
          <w:rFonts w:hint="eastAsia" w:ascii="宋体" w:hAnsi="宋体" w:eastAsia="宋体"/>
          <w:sz w:val="28"/>
          <w:szCs w:val="28"/>
          <w:highlight w:val="none"/>
        </w:rPr>
        <w:t>7</w:t>
      </w:r>
      <w:r>
        <w:rPr>
          <w:rFonts w:ascii="宋体" w:hAnsi="宋体" w:eastAsia="宋体"/>
          <w:sz w:val="28"/>
          <w:szCs w:val="28"/>
          <w:highlight w:val="none"/>
        </w:rPr>
        <w:t>.1</w:t>
      </w:r>
      <w:r>
        <w:rPr>
          <w:rFonts w:hint="eastAsia" w:ascii="宋体" w:hAnsi="宋体" w:eastAsia="宋体"/>
          <w:sz w:val="28"/>
          <w:szCs w:val="28"/>
          <w:highlight w:val="none"/>
        </w:rPr>
        <w:t>认证准则</w:t>
      </w:r>
      <w:bookmarkEnd w:id="36"/>
    </w:p>
    <w:p>
      <w:pPr>
        <w:spacing w:line="360" w:lineRule="auto"/>
        <w:ind w:firstLine="480" w:firstLineChars="200"/>
        <w:rPr>
          <w:rFonts w:hint="eastAsia" w:ascii="宋体" w:hAnsi="宋体"/>
          <w:bCs/>
          <w:sz w:val="24"/>
          <w:highlight w:val="none"/>
        </w:rPr>
      </w:pPr>
      <w:r>
        <w:rPr>
          <w:rFonts w:hint="eastAsia" w:ascii="宋体" w:hAnsi="宋体"/>
          <w:sz w:val="24"/>
          <w:highlight w:val="none"/>
        </w:rPr>
        <w:t>双方确认的认证依据见3。</w:t>
      </w:r>
    </w:p>
    <w:p>
      <w:pPr>
        <w:pStyle w:val="9"/>
        <w:spacing w:line="360" w:lineRule="auto"/>
        <w:ind w:left="0" w:leftChars="0" w:firstLine="480" w:firstLineChars="200"/>
        <w:rPr>
          <w:rFonts w:hint="eastAsia" w:ascii="宋体" w:hAnsi="宋体"/>
          <w:sz w:val="24"/>
          <w:highlight w:val="none"/>
        </w:rPr>
      </w:pPr>
      <w:r>
        <w:rPr>
          <w:rFonts w:hint="eastAsia" w:ascii="宋体" w:hAnsi="宋体"/>
          <w:sz w:val="24"/>
          <w:highlight w:val="none"/>
        </w:rPr>
        <w:t>认证准则还包括受认证方所适用的方针、程序、HSE法律法规政策和标准、受认证方HSE管理体系文件、合同要求或其它要求。</w:t>
      </w:r>
    </w:p>
    <w:p>
      <w:pPr>
        <w:pStyle w:val="3"/>
        <w:rPr>
          <w:rFonts w:hint="eastAsia" w:ascii="宋体" w:hAnsi="宋体" w:eastAsia="宋体"/>
          <w:sz w:val="28"/>
          <w:szCs w:val="28"/>
          <w:highlight w:val="none"/>
        </w:rPr>
      </w:pPr>
      <w:bookmarkStart w:id="37" w:name="_Toc522697770"/>
      <w:r>
        <w:rPr>
          <w:rFonts w:hint="eastAsia" w:ascii="宋体" w:hAnsi="宋体" w:eastAsia="宋体"/>
          <w:sz w:val="28"/>
          <w:szCs w:val="28"/>
          <w:highlight w:val="none"/>
        </w:rPr>
        <w:t>7.2 认证实施</w:t>
      </w:r>
      <w:bookmarkEnd w:id="37"/>
    </w:p>
    <w:p>
      <w:pPr>
        <w:pStyle w:val="4"/>
        <w:ind w:left="478" w:hanging="478"/>
        <w:rPr>
          <w:rFonts w:hint="eastAsia" w:ascii="宋体" w:hAnsi="宋体" w:eastAsia="宋体"/>
          <w:b w:val="0"/>
          <w:highlight w:val="none"/>
        </w:rPr>
      </w:pPr>
      <w:r>
        <w:rPr>
          <w:rFonts w:hint="eastAsia" w:ascii="宋体" w:hAnsi="宋体" w:eastAsia="宋体"/>
          <w:b w:val="0"/>
          <w:highlight w:val="none"/>
        </w:rPr>
        <w:t>7.2.1初次审核</w:t>
      </w:r>
    </w:p>
    <w:p>
      <w:pPr>
        <w:spacing w:line="360" w:lineRule="auto"/>
        <w:ind w:firstLine="480" w:firstLineChars="200"/>
        <w:jc w:val="left"/>
        <w:rPr>
          <w:rFonts w:hint="eastAsia" w:ascii="宋体" w:hAnsi="宋体"/>
          <w:sz w:val="24"/>
          <w:highlight w:val="none"/>
        </w:rPr>
      </w:pPr>
      <w:r>
        <w:rPr>
          <w:rFonts w:hint="eastAsia" w:ascii="宋体" w:hAnsi="宋体"/>
          <w:sz w:val="24"/>
          <w:highlight w:val="none"/>
        </w:rPr>
        <w:t>初次认证分两个阶段实施：第一阶段和第二阶段。</w:t>
      </w:r>
    </w:p>
    <w:p>
      <w:pPr>
        <w:pStyle w:val="7"/>
        <w:spacing w:after="0" w:line="360" w:lineRule="auto"/>
        <w:rPr>
          <w:rFonts w:hint="eastAsia" w:ascii="宋体" w:hAnsi="宋体"/>
          <w:sz w:val="24"/>
          <w:highlight w:val="none"/>
        </w:rPr>
      </w:pPr>
      <w:r>
        <w:rPr>
          <w:rFonts w:hint="eastAsia" w:ascii="宋体" w:hAnsi="宋体"/>
          <w:sz w:val="24"/>
          <w:highlight w:val="none"/>
        </w:rPr>
        <w:t>7.2.1.1第一阶段审核</w:t>
      </w:r>
    </w:p>
    <w:p>
      <w:pPr>
        <w:pStyle w:val="5"/>
        <w:spacing w:line="360" w:lineRule="auto"/>
        <w:ind w:left="0" w:leftChars="0" w:firstLine="480" w:firstLineChars="200"/>
        <w:rPr>
          <w:rFonts w:hint="eastAsia" w:hAnsi="宋体"/>
          <w:sz w:val="24"/>
          <w:szCs w:val="24"/>
          <w:highlight w:val="none"/>
        </w:rPr>
      </w:pPr>
      <w:r>
        <w:rPr>
          <w:rFonts w:hint="eastAsia" w:hAnsi="宋体"/>
          <w:sz w:val="24"/>
          <w:szCs w:val="24"/>
          <w:highlight w:val="none"/>
        </w:rPr>
        <w:t>第一阶段审核的目的：确定受审核方是否已按3要求建立及运作了HSE管理体系，是否为二阶段审核做好了准备，现场进一步确认拟认证范围的合理性，确定第二阶段审核的关注点。</w:t>
      </w:r>
    </w:p>
    <w:p>
      <w:pPr>
        <w:spacing w:line="360" w:lineRule="auto"/>
        <w:ind w:firstLine="480" w:firstLineChars="200"/>
        <w:jc w:val="left"/>
        <w:rPr>
          <w:rFonts w:hint="eastAsia" w:ascii="宋体" w:hAnsi="宋体"/>
          <w:sz w:val="24"/>
          <w:highlight w:val="none"/>
        </w:rPr>
      </w:pPr>
      <w:r>
        <w:rPr>
          <w:rFonts w:hint="eastAsia" w:ascii="宋体" w:hAnsi="宋体"/>
          <w:sz w:val="24"/>
          <w:highlight w:val="none"/>
        </w:rPr>
        <w:t>第一阶段审核包括文件评审和现场审核：</w:t>
      </w:r>
    </w:p>
    <w:p>
      <w:pPr>
        <w:pStyle w:val="5"/>
        <w:numPr>
          <w:ilvl w:val="0"/>
          <w:numId w:val="5"/>
        </w:numPr>
        <w:spacing w:line="360" w:lineRule="auto"/>
        <w:ind w:leftChars="0" w:firstLineChars="0"/>
        <w:rPr>
          <w:rFonts w:hint="eastAsia" w:hAnsi="宋体"/>
          <w:sz w:val="24"/>
          <w:szCs w:val="24"/>
          <w:highlight w:val="none"/>
        </w:rPr>
      </w:pPr>
      <w:r>
        <w:rPr>
          <w:rFonts w:hint="eastAsia" w:hAnsi="宋体"/>
          <w:sz w:val="24"/>
          <w:szCs w:val="24"/>
          <w:highlight w:val="none"/>
        </w:rPr>
        <w:t>了解受审核方的基本信息。包括收集关于受审核方的管理体系范围、过程和场所的必要信息，收集相关的法律法规要求和遵守情况及相关的风险，内审、管理评审等；</w:t>
      </w:r>
    </w:p>
    <w:p>
      <w:pPr>
        <w:pStyle w:val="5"/>
        <w:numPr>
          <w:ilvl w:val="0"/>
          <w:numId w:val="5"/>
        </w:numPr>
        <w:spacing w:line="360" w:lineRule="auto"/>
        <w:ind w:leftChars="0" w:firstLineChars="0"/>
        <w:rPr>
          <w:rFonts w:hint="eastAsia" w:hAnsi="宋体"/>
          <w:sz w:val="24"/>
          <w:szCs w:val="24"/>
          <w:highlight w:val="none"/>
        </w:rPr>
      </w:pPr>
      <w:r>
        <w:rPr>
          <w:rFonts w:hint="eastAsia" w:hAnsi="宋体"/>
          <w:sz w:val="24"/>
          <w:szCs w:val="24"/>
          <w:highlight w:val="none"/>
        </w:rPr>
        <w:t xml:space="preserve">审查客户理解和实施标准要求的情况，特别是对管理体系的风险、目标、绩效或重要因素（环境及职业健康安全）、过程和运行的全面策划情况进行确认。 </w:t>
      </w:r>
    </w:p>
    <w:p>
      <w:pPr>
        <w:pStyle w:val="8"/>
        <w:spacing w:line="360" w:lineRule="auto"/>
        <w:rPr>
          <w:rFonts w:hint="eastAsia"/>
          <w:highlight w:val="none"/>
        </w:rPr>
      </w:pPr>
      <w:r>
        <w:rPr>
          <w:rFonts w:hint="eastAsia"/>
          <w:highlight w:val="none"/>
        </w:rPr>
        <w:t>将第一阶段审核发现形成文件，并告知受审核方，包括任何引起关注的、在第二阶段审核中可能被判定为不符合的问题。</w:t>
      </w:r>
    </w:p>
    <w:p>
      <w:pPr>
        <w:pStyle w:val="7"/>
        <w:spacing w:after="0" w:line="360" w:lineRule="auto"/>
        <w:rPr>
          <w:rFonts w:hint="eastAsia" w:ascii="宋体" w:hAnsi="宋体"/>
          <w:sz w:val="24"/>
          <w:highlight w:val="none"/>
        </w:rPr>
      </w:pPr>
      <w:r>
        <w:rPr>
          <w:rFonts w:hint="eastAsia" w:ascii="宋体" w:hAnsi="宋体"/>
          <w:sz w:val="24"/>
          <w:highlight w:val="none"/>
        </w:rPr>
        <w:t>7.2.1.2第二阶段审核</w:t>
      </w:r>
    </w:p>
    <w:p>
      <w:pPr>
        <w:spacing w:line="360" w:lineRule="auto"/>
        <w:ind w:firstLine="480" w:firstLineChars="200"/>
        <w:jc w:val="left"/>
        <w:rPr>
          <w:rFonts w:hint="eastAsia" w:ascii="宋体" w:hAnsi="宋体"/>
          <w:sz w:val="24"/>
          <w:highlight w:val="none"/>
        </w:rPr>
      </w:pPr>
      <w:r>
        <w:rPr>
          <w:rFonts w:hint="eastAsia" w:ascii="宋体" w:hAnsi="宋体"/>
          <w:sz w:val="24"/>
          <w:highlight w:val="none"/>
        </w:rPr>
        <w:t xml:space="preserve">第二阶段审核的目的是认证受审核方的管理体系实施情况，审核组通过收集客观证据，综合认证受审核方HSE管理体系是否符合认证准则，运行是否有效。 </w:t>
      </w:r>
    </w:p>
    <w:p>
      <w:pPr>
        <w:spacing w:line="360" w:lineRule="auto"/>
        <w:ind w:firstLine="480" w:firstLineChars="200"/>
        <w:jc w:val="left"/>
        <w:rPr>
          <w:rFonts w:hint="eastAsia" w:ascii="宋体" w:hAnsi="宋体"/>
          <w:sz w:val="24"/>
          <w:highlight w:val="none"/>
        </w:rPr>
      </w:pPr>
      <w:r>
        <w:rPr>
          <w:rFonts w:hint="eastAsia" w:ascii="宋体" w:hAnsi="宋体"/>
          <w:sz w:val="24"/>
          <w:highlight w:val="none"/>
        </w:rPr>
        <w:t>方圆集团公司在确定第一阶段审核和第二阶段审核的间隔时间时，需考虑客户解决第一阶段审核中识别的任何需关注问题所需的时间。方圆集团公司也可能需要调整第二阶段审核的安排。</w:t>
      </w:r>
    </w:p>
    <w:p>
      <w:pPr>
        <w:spacing w:line="360" w:lineRule="auto"/>
        <w:ind w:firstLine="480" w:firstLineChars="200"/>
        <w:jc w:val="left"/>
        <w:rPr>
          <w:rFonts w:hint="eastAsia" w:ascii="宋体" w:hAnsi="宋体"/>
          <w:kern w:val="0"/>
          <w:sz w:val="24"/>
          <w:highlight w:val="none"/>
        </w:rPr>
      </w:pPr>
      <w:r>
        <w:rPr>
          <w:rFonts w:hint="eastAsia" w:ascii="宋体" w:hAnsi="宋体"/>
          <w:sz w:val="24"/>
          <w:highlight w:val="none"/>
        </w:rPr>
        <w:t>第二阶段审核应覆盖受认证方HSE管理体系拟认证范围内的所有部门、活动、产品和服务，覆盖HSE管理体系标准的所有条款。特别是</w:t>
      </w:r>
      <w:r>
        <w:rPr>
          <w:rFonts w:ascii="宋体" w:hAnsi="宋体"/>
          <w:kern w:val="0"/>
          <w:sz w:val="24"/>
          <w:highlight w:val="none"/>
        </w:rPr>
        <w:t>法律法规</w:t>
      </w:r>
      <w:r>
        <w:rPr>
          <w:rFonts w:hint="eastAsia" w:ascii="宋体" w:hAnsi="宋体"/>
          <w:kern w:val="0"/>
          <w:sz w:val="24"/>
          <w:highlight w:val="none"/>
        </w:rPr>
        <w:t>的符合性、</w:t>
      </w:r>
      <w:r>
        <w:rPr>
          <w:rFonts w:ascii="宋体" w:hAnsi="宋体"/>
          <w:kern w:val="0"/>
          <w:sz w:val="24"/>
          <w:highlight w:val="none"/>
        </w:rPr>
        <w:t>HSE管理制度</w:t>
      </w:r>
      <w:r>
        <w:rPr>
          <w:rFonts w:hint="eastAsia" w:ascii="宋体" w:hAnsi="宋体"/>
          <w:kern w:val="0"/>
          <w:sz w:val="24"/>
          <w:highlight w:val="none"/>
        </w:rPr>
        <w:t>的建立情况、</w:t>
      </w:r>
      <w:r>
        <w:rPr>
          <w:rFonts w:ascii="宋体" w:hAnsi="宋体"/>
          <w:kern w:val="0"/>
          <w:sz w:val="24"/>
          <w:highlight w:val="none"/>
        </w:rPr>
        <w:t>HSE管理手段与工具的使用</w:t>
      </w:r>
      <w:r>
        <w:rPr>
          <w:rFonts w:hint="eastAsia" w:ascii="宋体" w:hAnsi="宋体"/>
          <w:kern w:val="0"/>
          <w:sz w:val="24"/>
          <w:highlight w:val="none"/>
        </w:rPr>
        <w:t>情况</w:t>
      </w:r>
      <w:r>
        <w:rPr>
          <w:rFonts w:ascii="宋体" w:hAnsi="宋体"/>
          <w:kern w:val="0"/>
          <w:sz w:val="24"/>
          <w:highlight w:val="none"/>
        </w:rPr>
        <w:t>、HSE</w:t>
      </w:r>
      <w:r>
        <w:rPr>
          <w:rFonts w:hint="eastAsia" w:ascii="宋体" w:hAnsi="宋体"/>
          <w:kern w:val="0"/>
          <w:sz w:val="24"/>
          <w:highlight w:val="none"/>
        </w:rPr>
        <w:t>运行</w:t>
      </w:r>
      <w:r>
        <w:rPr>
          <w:rFonts w:ascii="宋体" w:hAnsi="宋体"/>
          <w:kern w:val="0"/>
          <w:sz w:val="24"/>
          <w:highlight w:val="none"/>
        </w:rPr>
        <w:t>效果</w:t>
      </w:r>
      <w:r>
        <w:rPr>
          <w:rFonts w:hint="eastAsia" w:ascii="宋体" w:hAnsi="宋体"/>
          <w:kern w:val="0"/>
          <w:sz w:val="24"/>
          <w:highlight w:val="none"/>
        </w:rPr>
        <w:t xml:space="preserve">及所取得的绩效等。 </w:t>
      </w:r>
    </w:p>
    <w:p>
      <w:pPr>
        <w:spacing w:line="360" w:lineRule="auto"/>
        <w:ind w:firstLine="480" w:firstLineChars="200"/>
        <w:rPr>
          <w:rFonts w:hint="eastAsia" w:ascii="宋体" w:hAnsi="宋体"/>
          <w:sz w:val="24"/>
          <w:highlight w:val="none"/>
        </w:rPr>
      </w:pPr>
      <w:r>
        <w:rPr>
          <w:rFonts w:hint="eastAsia" w:ascii="宋体" w:hAnsi="宋体"/>
          <w:sz w:val="24"/>
          <w:highlight w:val="none"/>
        </w:rPr>
        <w:t>HSE认证要具体关注：</w:t>
      </w:r>
    </w:p>
    <w:p>
      <w:pPr>
        <w:numPr>
          <w:ilvl w:val="0"/>
          <w:numId w:val="6"/>
        </w:numPr>
        <w:spacing w:line="360" w:lineRule="auto"/>
        <w:rPr>
          <w:rFonts w:hint="eastAsia" w:ascii="宋体" w:hAnsi="宋体"/>
          <w:sz w:val="24"/>
          <w:highlight w:val="none"/>
        </w:rPr>
      </w:pPr>
      <w:r>
        <w:rPr>
          <w:rFonts w:hint="eastAsia" w:ascii="宋体" w:hAnsi="宋体"/>
          <w:sz w:val="24"/>
          <w:highlight w:val="none"/>
        </w:rPr>
        <w:t>六特（人员—管理加作业人员、设备、环境、作业、劳保用品等）一危（危险化学品）一重大（重大危险源）；</w:t>
      </w:r>
    </w:p>
    <w:p>
      <w:pPr>
        <w:numPr>
          <w:ilvl w:val="0"/>
          <w:numId w:val="6"/>
        </w:numPr>
        <w:spacing w:line="360" w:lineRule="auto"/>
        <w:rPr>
          <w:rFonts w:hint="eastAsia" w:ascii="宋体" w:hAnsi="宋体"/>
          <w:sz w:val="24"/>
          <w:highlight w:val="none"/>
        </w:rPr>
      </w:pPr>
      <w:r>
        <w:rPr>
          <w:rFonts w:hint="eastAsia" w:ascii="宋体" w:hAnsi="宋体"/>
          <w:sz w:val="24"/>
          <w:highlight w:val="none"/>
        </w:rPr>
        <w:t xml:space="preserve">甲乙类火险区域及活动（甲乙类火险：详见建筑设计防火规范）； </w:t>
      </w:r>
    </w:p>
    <w:p>
      <w:pPr>
        <w:numPr>
          <w:ilvl w:val="0"/>
          <w:numId w:val="6"/>
        </w:numPr>
        <w:spacing w:line="360" w:lineRule="auto"/>
        <w:rPr>
          <w:rFonts w:hint="eastAsia" w:ascii="宋体" w:hAnsi="宋体"/>
          <w:sz w:val="24"/>
          <w:highlight w:val="none"/>
        </w:rPr>
      </w:pPr>
      <w:r>
        <w:rPr>
          <w:rFonts w:hint="eastAsia" w:ascii="宋体" w:hAnsi="宋体"/>
          <w:sz w:val="24"/>
          <w:highlight w:val="none"/>
        </w:rPr>
        <w:t>和a）、b）有关的相关方活动如：外包的大修或新改扩工程建设管理等；</w:t>
      </w:r>
    </w:p>
    <w:p>
      <w:pPr>
        <w:numPr>
          <w:ilvl w:val="0"/>
          <w:numId w:val="6"/>
        </w:numPr>
        <w:spacing w:line="360" w:lineRule="auto"/>
        <w:rPr>
          <w:rFonts w:hint="eastAsia" w:ascii="宋体" w:hAnsi="宋体"/>
          <w:sz w:val="24"/>
          <w:highlight w:val="none"/>
        </w:rPr>
      </w:pPr>
      <w:r>
        <w:rPr>
          <w:rFonts w:hint="eastAsia" w:ascii="宋体" w:hAnsi="宋体"/>
          <w:sz w:val="24"/>
          <w:highlight w:val="none"/>
        </w:rPr>
        <w:t>隐患治理绩效；</w:t>
      </w:r>
    </w:p>
    <w:p>
      <w:pPr>
        <w:numPr>
          <w:ilvl w:val="0"/>
          <w:numId w:val="6"/>
        </w:numPr>
        <w:spacing w:line="360" w:lineRule="auto"/>
        <w:rPr>
          <w:rFonts w:hint="eastAsia" w:ascii="宋体" w:hAnsi="宋体"/>
          <w:sz w:val="24"/>
          <w:highlight w:val="none"/>
        </w:rPr>
      </w:pPr>
      <w:r>
        <w:rPr>
          <w:rFonts w:hint="eastAsia" w:ascii="宋体" w:hAnsi="宋体"/>
          <w:sz w:val="24"/>
          <w:highlight w:val="none"/>
        </w:rPr>
        <w:t>防爆管理；</w:t>
      </w:r>
    </w:p>
    <w:p>
      <w:pPr>
        <w:numPr>
          <w:ilvl w:val="0"/>
          <w:numId w:val="6"/>
        </w:numPr>
        <w:spacing w:line="360" w:lineRule="auto"/>
        <w:rPr>
          <w:rFonts w:hint="eastAsia" w:ascii="宋体" w:hAnsi="宋体"/>
          <w:sz w:val="24"/>
          <w:highlight w:val="none"/>
        </w:rPr>
      </w:pPr>
      <w:r>
        <w:rPr>
          <w:rFonts w:hint="eastAsia" w:ascii="宋体" w:hAnsi="宋体"/>
          <w:sz w:val="24"/>
          <w:highlight w:val="none"/>
        </w:rPr>
        <w:t>电仪安全（电气预防、静电导通、可燃及有毒报警等管理）；</w:t>
      </w:r>
    </w:p>
    <w:p>
      <w:pPr>
        <w:numPr>
          <w:ilvl w:val="0"/>
          <w:numId w:val="6"/>
        </w:numPr>
        <w:spacing w:line="360" w:lineRule="auto"/>
        <w:rPr>
          <w:rFonts w:hint="eastAsia" w:ascii="宋体" w:hAnsi="宋体"/>
          <w:sz w:val="24"/>
          <w:highlight w:val="none"/>
        </w:rPr>
      </w:pPr>
      <w:r>
        <w:rPr>
          <w:rFonts w:hint="eastAsia" w:ascii="宋体" w:hAnsi="宋体"/>
          <w:sz w:val="24"/>
          <w:highlight w:val="none"/>
        </w:rPr>
        <w:t>六新技术利用；</w:t>
      </w:r>
    </w:p>
    <w:p>
      <w:pPr>
        <w:numPr>
          <w:ilvl w:val="0"/>
          <w:numId w:val="6"/>
        </w:numPr>
        <w:spacing w:line="360" w:lineRule="auto"/>
        <w:rPr>
          <w:rFonts w:hint="eastAsia" w:ascii="宋体" w:hAnsi="宋体"/>
          <w:sz w:val="24"/>
          <w:highlight w:val="none"/>
        </w:rPr>
      </w:pPr>
      <w:r>
        <w:rPr>
          <w:rFonts w:hint="eastAsia" w:ascii="宋体" w:hAnsi="宋体"/>
          <w:sz w:val="24"/>
          <w:highlight w:val="none"/>
        </w:rPr>
        <w:t>总量控制；末端治理；</w:t>
      </w:r>
    </w:p>
    <w:p>
      <w:pPr>
        <w:numPr>
          <w:ilvl w:val="0"/>
          <w:numId w:val="6"/>
        </w:numPr>
        <w:spacing w:line="360" w:lineRule="auto"/>
        <w:rPr>
          <w:rFonts w:hint="eastAsia" w:ascii="宋体" w:hAnsi="宋体"/>
          <w:sz w:val="24"/>
          <w:highlight w:val="none"/>
        </w:rPr>
      </w:pPr>
      <w:r>
        <w:rPr>
          <w:rFonts w:hint="eastAsia" w:ascii="宋体" w:hAnsi="宋体"/>
          <w:sz w:val="24"/>
          <w:highlight w:val="none"/>
        </w:rPr>
        <w:t>能资源有效高效利用等。</w:t>
      </w:r>
    </w:p>
    <w:p>
      <w:pPr>
        <w:pStyle w:val="7"/>
        <w:spacing w:after="0" w:line="360" w:lineRule="auto"/>
        <w:rPr>
          <w:rFonts w:hint="eastAsia" w:ascii="宋体" w:hAnsi="宋体"/>
          <w:sz w:val="24"/>
          <w:highlight w:val="none"/>
        </w:rPr>
      </w:pPr>
      <w:r>
        <w:rPr>
          <w:rFonts w:hint="eastAsia" w:ascii="宋体" w:hAnsi="宋体"/>
          <w:sz w:val="24"/>
          <w:highlight w:val="none"/>
        </w:rPr>
        <w:t>7.2.1.3现场审核活动实施</w:t>
      </w:r>
    </w:p>
    <w:p>
      <w:pPr>
        <w:spacing w:line="360" w:lineRule="auto"/>
        <w:ind w:firstLine="480"/>
        <w:jc w:val="left"/>
        <w:rPr>
          <w:rFonts w:hint="eastAsia" w:ascii="宋体" w:hAnsi="宋体"/>
          <w:sz w:val="24"/>
          <w:highlight w:val="none"/>
        </w:rPr>
      </w:pPr>
      <w:r>
        <w:rPr>
          <w:rFonts w:hint="eastAsia" w:ascii="宋体" w:hAnsi="宋体"/>
          <w:sz w:val="24"/>
          <w:highlight w:val="none"/>
        </w:rPr>
        <w:t>审核组在现场认证前与受认证方沟通，确认审核安排，说明首末次会议议程。</w:t>
      </w:r>
    </w:p>
    <w:p>
      <w:pPr>
        <w:spacing w:line="360" w:lineRule="auto"/>
        <w:ind w:firstLine="480"/>
        <w:jc w:val="left"/>
        <w:rPr>
          <w:rFonts w:hint="eastAsia" w:ascii="宋体" w:hAnsi="宋体"/>
          <w:sz w:val="24"/>
          <w:highlight w:val="none"/>
        </w:rPr>
      </w:pPr>
      <w:r>
        <w:rPr>
          <w:rFonts w:hint="eastAsia" w:ascii="宋体" w:hAnsi="宋体"/>
          <w:sz w:val="24"/>
          <w:highlight w:val="none"/>
        </w:rPr>
        <w:t>审核组按照审核计划中日程安排实施审核，通过查阅受审核方的文件和记录、与活动/产品/服务的岗位人员面谈/座谈、观察产品/服务形成过程和活动等适当方法，抽样收集并验证有关的信息，形成审核发现，确认不符合情况。</w:t>
      </w:r>
    </w:p>
    <w:p>
      <w:pPr>
        <w:spacing w:line="360" w:lineRule="auto"/>
        <w:ind w:firstLine="480"/>
        <w:jc w:val="left"/>
        <w:rPr>
          <w:rFonts w:hint="eastAsia" w:ascii="宋体" w:hAnsi="宋体"/>
          <w:sz w:val="24"/>
          <w:highlight w:val="none"/>
        </w:rPr>
      </w:pPr>
      <w:r>
        <w:rPr>
          <w:rFonts w:hint="eastAsia" w:ascii="宋体" w:hAnsi="宋体"/>
          <w:sz w:val="24"/>
          <w:highlight w:val="none"/>
        </w:rPr>
        <w:t>在审核过程中，审核组及时与受审核方沟通，通报审核进程，确认审核证据，解决分歧。当审核发现表明不能达到审核目的时，应说明理由，商定后续措施。如果需要改变认证目的和范围或终止审核时，应经双方同意后实施。</w:t>
      </w:r>
    </w:p>
    <w:p>
      <w:pPr>
        <w:spacing w:line="360" w:lineRule="auto"/>
        <w:ind w:firstLine="480"/>
        <w:jc w:val="left"/>
        <w:rPr>
          <w:rFonts w:hint="eastAsia" w:ascii="宋体" w:hAnsi="宋体"/>
          <w:sz w:val="24"/>
          <w:highlight w:val="none"/>
        </w:rPr>
      </w:pPr>
      <w:r>
        <w:rPr>
          <w:rFonts w:hint="eastAsia" w:ascii="宋体" w:hAnsi="宋体"/>
          <w:sz w:val="24"/>
          <w:highlight w:val="none"/>
        </w:rPr>
        <w:t>审核组长在现场审核结束前，与受审核方沟通现场审核的信息，请受审核方对不符合报告进行确认，并商定对不符合的后续措施的安排，确认审核结论，编制审核报告并于现场审核结束前或结束后按照商定的时间提交受审核方。</w:t>
      </w:r>
    </w:p>
    <w:p>
      <w:pPr>
        <w:spacing w:line="360" w:lineRule="auto"/>
        <w:ind w:firstLine="480"/>
        <w:jc w:val="left"/>
        <w:rPr>
          <w:rFonts w:hint="eastAsia" w:ascii="宋体" w:hAnsi="宋体"/>
          <w:sz w:val="24"/>
          <w:highlight w:val="none"/>
        </w:rPr>
      </w:pPr>
      <w:r>
        <w:rPr>
          <w:rFonts w:hint="eastAsia" w:ascii="宋体" w:hAnsi="宋体"/>
          <w:sz w:val="24"/>
          <w:highlight w:val="none"/>
        </w:rPr>
        <w:t>对于与</w:t>
      </w:r>
      <w:r>
        <w:rPr>
          <w:rFonts w:ascii="宋体" w:hAnsi="宋体"/>
          <w:sz w:val="24"/>
          <w:highlight w:val="none"/>
        </w:rPr>
        <w:t>EMS</w:t>
      </w:r>
      <w:r>
        <w:rPr>
          <w:rFonts w:hint="eastAsia" w:ascii="宋体" w:hAnsi="宋体"/>
          <w:sz w:val="24"/>
          <w:highlight w:val="none"/>
        </w:rPr>
        <w:t>、</w:t>
      </w:r>
      <w:r>
        <w:rPr>
          <w:rFonts w:ascii="宋体" w:hAnsi="宋体"/>
          <w:sz w:val="24"/>
          <w:highlight w:val="none"/>
        </w:rPr>
        <w:t>OHSMS</w:t>
      </w:r>
      <w:r>
        <w:rPr>
          <w:rFonts w:hint="eastAsia" w:ascii="宋体" w:hAnsi="宋体"/>
          <w:sz w:val="24"/>
          <w:highlight w:val="none"/>
        </w:rPr>
        <w:t>一同进行的HSE认证项目，审核报告使用现行有效的</w:t>
      </w:r>
      <w:r>
        <w:rPr>
          <w:rFonts w:ascii="宋体" w:hAnsi="宋体"/>
          <w:sz w:val="24"/>
          <w:highlight w:val="none"/>
        </w:rPr>
        <w:t>EMS</w:t>
      </w:r>
      <w:r>
        <w:rPr>
          <w:rFonts w:hint="eastAsia" w:ascii="宋体" w:hAnsi="宋体"/>
          <w:sz w:val="24"/>
          <w:highlight w:val="none"/>
        </w:rPr>
        <w:t>、</w:t>
      </w:r>
      <w:r>
        <w:rPr>
          <w:rFonts w:ascii="宋体" w:hAnsi="宋体"/>
          <w:sz w:val="24"/>
          <w:highlight w:val="none"/>
        </w:rPr>
        <w:t>OHSMS</w:t>
      </w:r>
      <w:r>
        <w:rPr>
          <w:rFonts w:hint="eastAsia" w:ascii="宋体" w:hAnsi="宋体"/>
          <w:sz w:val="24"/>
          <w:highlight w:val="none"/>
        </w:rPr>
        <w:t>审核报告；对于单独进行HSE认证的项目使用HSE审核报告。</w:t>
      </w:r>
    </w:p>
    <w:p>
      <w:pPr>
        <w:spacing w:line="360" w:lineRule="auto"/>
        <w:ind w:firstLine="480"/>
        <w:jc w:val="left"/>
        <w:rPr>
          <w:rFonts w:hint="eastAsia" w:ascii="宋体" w:hAnsi="宋体"/>
          <w:sz w:val="24"/>
          <w:highlight w:val="none"/>
        </w:rPr>
      </w:pPr>
      <w:r>
        <w:rPr>
          <w:rFonts w:hint="eastAsia" w:ascii="宋体" w:hAnsi="宋体"/>
          <w:sz w:val="24"/>
          <w:highlight w:val="none"/>
        </w:rPr>
        <w:t>审核报告属方圆集团公司所有，审核组成员和所有报告接受者应妥善保管并保持其机密性，法律要求除外。</w:t>
      </w:r>
    </w:p>
    <w:p>
      <w:pPr>
        <w:pStyle w:val="25"/>
        <w:spacing w:line="360" w:lineRule="auto"/>
        <w:outlineLvl w:val="9"/>
        <w:rPr>
          <w:rFonts w:hint="eastAsia" w:ascii="宋体" w:hAnsi="宋体" w:eastAsia="宋体"/>
          <w:kern w:val="2"/>
          <w:sz w:val="24"/>
          <w:szCs w:val="24"/>
          <w:highlight w:val="none"/>
        </w:rPr>
      </w:pPr>
      <w:r>
        <w:rPr>
          <w:rFonts w:hint="eastAsia" w:ascii="宋体" w:hAnsi="宋体" w:eastAsia="宋体"/>
          <w:kern w:val="2"/>
          <w:sz w:val="24"/>
          <w:szCs w:val="24"/>
          <w:highlight w:val="none"/>
        </w:rPr>
        <w:t>7.2.1.4初次审核的结论</w:t>
      </w:r>
    </w:p>
    <w:p>
      <w:pPr>
        <w:spacing w:line="360" w:lineRule="auto"/>
        <w:ind w:firstLine="480" w:firstLineChars="200"/>
        <w:jc w:val="left"/>
        <w:rPr>
          <w:rFonts w:hint="eastAsia" w:ascii="宋体" w:hAnsi="宋体"/>
          <w:sz w:val="24"/>
          <w:highlight w:val="none"/>
        </w:rPr>
      </w:pPr>
      <w:r>
        <w:rPr>
          <w:rFonts w:hint="eastAsia" w:ascii="宋体" w:hAnsi="宋体"/>
          <w:sz w:val="24"/>
          <w:highlight w:val="none"/>
        </w:rPr>
        <w:t>审核组应对在第一阶段和第二阶段审核中收集的所有信息和证据进行分析，以评审审核发现并就认证结论达成一致。</w:t>
      </w:r>
    </w:p>
    <w:p>
      <w:pPr>
        <w:spacing w:line="360" w:lineRule="auto"/>
        <w:ind w:firstLine="480" w:firstLineChars="200"/>
        <w:rPr>
          <w:rFonts w:hint="eastAsia" w:ascii="宋体" w:hAnsi="宋体"/>
          <w:bCs/>
          <w:sz w:val="24"/>
          <w:highlight w:val="none"/>
        </w:rPr>
      </w:pPr>
      <w:r>
        <w:rPr>
          <w:rFonts w:ascii="宋体" w:hAnsi="宋体"/>
          <w:bCs/>
          <w:sz w:val="24"/>
          <w:highlight w:val="none"/>
        </w:rPr>
        <w:t>注：HSE应</w:t>
      </w:r>
      <w:r>
        <w:rPr>
          <w:rFonts w:hint="eastAsia" w:ascii="宋体" w:hAnsi="宋体"/>
          <w:bCs/>
          <w:sz w:val="24"/>
          <w:highlight w:val="none"/>
        </w:rPr>
        <w:t>融在EMS和OHSMS中一起认证，并强调集成，强调和企业实际更好地融合以求持久地价值和有效性。</w:t>
      </w:r>
    </w:p>
    <w:p>
      <w:pPr>
        <w:pStyle w:val="4"/>
        <w:ind w:left="478" w:hanging="478"/>
        <w:rPr>
          <w:rFonts w:hint="eastAsia" w:ascii="宋体" w:hAnsi="宋体" w:eastAsia="宋体"/>
          <w:b w:val="0"/>
          <w:highlight w:val="none"/>
        </w:rPr>
      </w:pPr>
      <w:r>
        <w:rPr>
          <w:rFonts w:hint="eastAsia" w:ascii="宋体" w:hAnsi="宋体" w:eastAsia="宋体"/>
          <w:b w:val="0"/>
          <w:highlight w:val="none"/>
        </w:rPr>
        <w:t>7.</w:t>
      </w:r>
      <w:r>
        <w:rPr>
          <w:rFonts w:ascii="宋体" w:hAnsi="宋体" w:eastAsia="宋体"/>
          <w:b w:val="0"/>
          <w:highlight w:val="none"/>
        </w:rPr>
        <w:t>2.2</w:t>
      </w:r>
      <w:r>
        <w:rPr>
          <w:rFonts w:hint="eastAsia" w:ascii="宋体" w:hAnsi="宋体" w:eastAsia="宋体"/>
          <w:b w:val="0"/>
          <w:highlight w:val="none"/>
        </w:rPr>
        <w:t xml:space="preserve"> 监督活动</w:t>
      </w:r>
    </w:p>
    <w:p>
      <w:pPr>
        <w:pStyle w:val="25"/>
        <w:spacing w:line="360" w:lineRule="auto"/>
        <w:outlineLvl w:val="9"/>
        <w:rPr>
          <w:rFonts w:hint="eastAsia" w:ascii="宋体" w:hAnsi="宋体" w:eastAsia="宋体"/>
          <w:kern w:val="2"/>
          <w:sz w:val="24"/>
          <w:szCs w:val="24"/>
          <w:highlight w:val="none"/>
        </w:rPr>
      </w:pPr>
      <w:bookmarkStart w:id="38" w:name="_Toc85105530"/>
      <w:bookmarkStart w:id="39" w:name="_Toc85256266"/>
      <w:bookmarkStart w:id="40" w:name="_Toc85103640"/>
      <w:r>
        <w:rPr>
          <w:rFonts w:hint="eastAsia" w:ascii="宋体" w:hAnsi="宋体" w:eastAsia="宋体"/>
          <w:kern w:val="2"/>
          <w:sz w:val="24"/>
          <w:szCs w:val="24"/>
          <w:highlight w:val="none"/>
        </w:rPr>
        <w:t>7.</w:t>
      </w:r>
      <w:r>
        <w:rPr>
          <w:rFonts w:ascii="宋体" w:hAnsi="宋体" w:eastAsia="宋体"/>
          <w:kern w:val="2"/>
          <w:sz w:val="24"/>
          <w:szCs w:val="24"/>
          <w:highlight w:val="none"/>
        </w:rPr>
        <w:t>2</w:t>
      </w:r>
      <w:r>
        <w:rPr>
          <w:rFonts w:hint="eastAsia" w:ascii="宋体" w:hAnsi="宋体" w:eastAsia="宋体"/>
          <w:kern w:val="2"/>
          <w:sz w:val="24"/>
          <w:szCs w:val="24"/>
          <w:highlight w:val="none"/>
        </w:rPr>
        <w:t>.</w:t>
      </w:r>
      <w:r>
        <w:rPr>
          <w:rFonts w:ascii="宋体" w:hAnsi="宋体" w:eastAsia="宋体"/>
          <w:kern w:val="2"/>
          <w:sz w:val="24"/>
          <w:szCs w:val="24"/>
          <w:highlight w:val="none"/>
        </w:rPr>
        <w:t>2.</w:t>
      </w:r>
      <w:r>
        <w:rPr>
          <w:rFonts w:hint="eastAsia" w:ascii="宋体" w:hAnsi="宋体" w:eastAsia="宋体"/>
          <w:kern w:val="2"/>
          <w:sz w:val="24"/>
          <w:szCs w:val="24"/>
          <w:highlight w:val="none"/>
        </w:rPr>
        <w:t>1监督审核的频次</w:t>
      </w:r>
    </w:p>
    <w:p>
      <w:pPr>
        <w:spacing w:line="360" w:lineRule="auto"/>
        <w:ind w:firstLine="480" w:firstLineChars="200"/>
        <w:rPr>
          <w:rFonts w:hint="eastAsia" w:ascii="宋体" w:hAnsi="宋体"/>
          <w:sz w:val="24"/>
          <w:highlight w:val="none"/>
        </w:rPr>
      </w:pPr>
      <w:r>
        <w:rPr>
          <w:rFonts w:hint="eastAsia" w:ascii="宋体" w:hAnsi="宋体"/>
          <w:sz w:val="24"/>
          <w:highlight w:val="none"/>
        </w:rPr>
        <w:t>在证书有效期内，须对获证组织实施监督审核，</w:t>
      </w:r>
      <w:r>
        <w:rPr>
          <w:rFonts w:hint="eastAsia" w:ascii="宋体" w:hAnsi="宋体"/>
          <w:color w:val="auto"/>
          <w:sz w:val="24"/>
          <w:highlight w:val="none"/>
        </w:rPr>
        <w:t>监督审核应至少每个日历年（应进行再认证的年份除外）进行一次。</w:t>
      </w:r>
      <w:r>
        <w:rPr>
          <w:rFonts w:hint="eastAsia" w:ascii="宋体" w:hAnsi="宋体"/>
          <w:sz w:val="24"/>
          <w:highlight w:val="none"/>
        </w:rPr>
        <w:t xml:space="preserve">初次认证后的第一次监督应在认证决定日期起12个月内进行。重点关注变化情况。 </w:t>
      </w:r>
    </w:p>
    <w:p>
      <w:pPr>
        <w:spacing w:line="360" w:lineRule="auto"/>
        <w:ind w:firstLine="480" w:firstLineChars="200"/>
        <w:rPr>
          <w:rFonts w:hint="eastAsia" w:ascii="宋体" w:hAnsi="宋体"/>
          <w:sz w:val="24"/>
          <w:highlight w:val="none"/>
        </w:rPr>
      </w:pPr>
      <w:r>
        <w:rPr>
          <w:rFonts w:hint="eastAsia" w:ascii="宋体" w:hAnsi="宋体"/>
          <w:sz w:val="24"/>
          <w:highlight w:val="none"/>
        </w:rPr>
        <w:t>若发生下述情况将安排特殊审核或与获证组织商定提前安排监督审核：</w:t>
      </w:r>
    </w:p>
    <w:p>
      <w:pPr>
        <w:numPr>
          <w:ilvl w:val="0"/>
          <w:numId w:val="7"/>
        </w:numPr>
        <w:spacing w:line="360" w:lineRule="auto"/>
        <w:rPr>
          <w:rFonts w:hint="eastAsia" w:ascii="宋体" w:hAnsi="宋体"/>
          <w:sz w:val="24"/>
          <w:highlight w:val="none"/>
        </w:rPr>
      </w:pPr>
      <w:r>
        <w:rPr>
          <w:rFonts w:hint="eastAsia" w:ascii="宋体" w:hAnsi="宋体"/>
          <w:sz w:val="24"/>
          <w:highlight w:val="none"/>
        </w:rPr>
        <w:t>获证组织对</w:t>
      </w:r>
      <w:r>
        <w:rPr>
          <w:rFonts w:hint="eastAsia" w:ascii="宋体" w:hAnsi="宋体"/>
          <w:sz w:val="24"/>
          <w:highlight w:val="none"/>
          <w:lang w:val="en-GB"/>
        </w:rPr>
        <w:t>HSE</w:t>
      </w:r>
      <w:r>
        <w:rPr>
          <w:rFonts w:hint="eastAsia" w:ascii="宋体" w:hAnsi="宋体"/>
          <w:sz w:val="24"/>
          <w:highlight w:val="none"/>
        </w:rPr>
        <w:t>管理体系进行了重大更改</w:t>
      </w:r>
      <w:r>
        <w:rPr>
          <w:rFonts w:ascii="宋体" w:hAnsi="宋体"/>
          <w:sz w:val="24"/>
          <w:highlight w:val="none"/>
        </w:rPr>
        <w:t>或发生影响HSE绩效的重大事故时</w:t>
      </w:r>
      <w:r>
        <w:rPr>
          <w:rFonts w:hint="eastAsia" w:ascii="宋体" w:hAnsi="宋体"/>
          <w:sz w:val="24"/>
          <w:highlight w:val="none"/>
        </w:rPr>
        <w:t>；</w:t>
      </w:r>
    </w:p>
    <w:p>
      <w:pPr>
        <w:pStyle w:val="8"/>
        <w:numPr>
          <w:ilvl w:val="0"/>
          <w:numId w:val="7"/>
        </w:numPr>
        <w:spacing w:line="360" w:lineRule="auto"/>
        <w:ind w:firstLineChars="0"/>
        <w:rPr>
          <w:rFonts w:hint="eastAsia"/>
          <w:color w:val="auto"/>
          <w:sz w:val="24"/>
          <w:szCs w:val="24"/>
          <w:highlight w:val="none"/>
        </w:rPr>
      </w:pPr>
      <w:r>
        <w:rPr>
          <w:rFonts w:hint="eastAsia"/>
          <w:color w:val="auto"/>
          <w:sz w:val="24"/>
          <w:szCs w:val="24"/>
          <w:highlight w:val="none"/>
        </w:rPr>
        <w:t>有足够信息表明获证组织发生了组织机构、生产条件、产品变更等影响到其认证基础的更改；</w:t>
      </w:r>
    </w:p>
    <w:p>
      <w:pPr>
        <w:pStyle w:val="8"/>
        <w:numPr>
          <w:ilvl w:val="0"/>
          <w:numId w:val="7"/>
        </w:numPr>
        <w:spacing w:line="360" w:lineRule="auto"/>
        <w:ind w:firstLineChars="0"/>
        <w:rPr>
          <w:rFonts w:hint="eastAsia"/>
          <w:color w:val="auto"/>
          <w:sz w:val="24"/>
          <w:szCs w:val="24"/>
          <w:highlight w:val="none"/>
        </w:rPr>
      </w:pPr>
      <w:r>
        <w:rPr>
          <w:rFonts w:hint="eastAsia"/>
          <w:color w:val="auto"/>
          <w:sz w:val="24"/>
          <w:szCs w:val="24"/>
          <w:highlight w:val="none"/>
        </w:rPr>
        <w:t>获证组织的HSE影响出现严重问题或用户提出投诉未得到处时；</w:t>
      </w:r>
    </w:p>
    <w:p>
      <w:pPr>
        <w:numPr>
          <w:ilvl w:val="0"/>
          <w:numId w:val="7"/>
        </w:numPr>
        <w:spacing w:line="360" w:lineRule="auto"/>
        <w:rPr>
          <w:rFonts w:hint="eastAsia" w:ascii="宋体" w:hAnsi="宋体"/>
          <w:bCs/>
          <w:sz w:val="24"/>
          <w:highlight w:val="none"/>
        </w:rPr>
      </w:pPr>
      <w:r>
        <w:rPr>
          <w:rFonts w:hint="eastAsia" w:ascii="宋体" w:hAnsi="宋体"/>
          <w:sz w:val="24"/>
          <w:highlight w:val="none"/>
        </w:rPr>
        <w:t>其他需要考虑的情况。</w:t>
      </w:r>
    </w:p>
    <w:bookmarkEnd w:id="38"/>
    <w:bookmarkEnd w:id="39"/>
    <w:bookmarkEnd w:id="40"/>
    <w:p>
      <w:pPr>
        <w:spacing w:line="360" w:lineRule="auto"/>
        <w:rPr>
          <w:rFonts w:hint="eastAsia" w:ascii="宋体" w:hAnsi="宋体"/>
          <w:bCs/>
          <w:sz w:val="24"/>
          <w:highlight w:val="none"/>
        </w:rPr>
      </w:pPr>
      <w:bookmarkStart w:id="41" w:name="_Toc85105531"/>
      <w:bookmarkStart w:id="42" w:name="_Toc85256267"/>
      <w:bookmarkStart w:id="43" w:name="_Toc85103641"/>
      <w:bookmarkStart w:id="44" w:name="_Toc33599598"/>
      <w:bookmarkStart w:id="45" w:name="_Toc33600432"/>
      <w:bookmarkStart w:id="46" w:name="_Toc33600388"/>
      <w:bookmarkStart w:id="47" w:name="_Toc33599725"/>
      <w:r>
        <w:rPr>
          <w:rFonts w:hint="eastAsia" w:ascii="宋体" w:hAnsi="宋体"/>
          <w:bCs/>
          <w:sz w:val="24"/>
          <w:highlight w:val="none"/>
        </w:rPr>
        <w:t>7.</w:t>
      </w:r>
      <w:r>
        <w:rPr>
          <w:rFonts w:ascii="宋体" w:hAnsi="宋体"/>
          <w:bCs/>
          <w:sz w:val="24"/>
          <w:highlight w:val="none"/>
        </w:rPr>
        <w:t>2</w:t>
      </w:r>
      <w:r>
        <w:rPr>
          <w:rFonts w:hint="eastAsia" w:ascii="宋体" w:hAnsi="宋体"/>
          <w:bCs/>
          <w:sz w:val="24"/>
          <w:highlight w:val="none"/>
        </w:rPr>
        <w:t>.2</w:t>
      </w:r>
      <w:r>
        <w:rPr>
          <w:rFonts w:ascii="宋体" w:hAnsi="宋体"/>
          <w:bCs/>
          <w:sz w:val="24"/>
          <w:highlight w:val="none"/>
        </w:rPr>
        <w:t>.</w:t>
      </w:r>
      <w:r>
        <w:rPr>
          <w:rFonts w:hint="eastAsia" w:ascii="宋体" w:hAnsi="宋体"/>
          <w:bCs/>
          <w:sz w:val="24"/>
          <w:highlight w:val="none"/>
        </w:rPr>
        <w:t>2</w:t>
      </w:r>
      <w:r>
        <w:rPr>
          <w:rFonts w:ascii="宋体" w:hAnsi="宋体"/>
          <w:bCs/>
          <w:sz w:val="24"/>
          <w:highlight w:val="none"/>
        </w:rPr>
        <w:t xml:space="preserve"> </w:t>
      </w:r>
      <w:bookmarkEnd w:id="41"/>
      <w:bookmarkEnd w:id="42"/>
      <w:bookmarkEnd w:id="43"/>
      <w:bookmarkEnd w:id="44"/>
      <w:bookmarkEnd w:id="45"/>
      <w:bookmarkEnd w:id="46"/>
      <w:bookmarkEnd w:id="47"/>
      <w:r>
        <w:rPr>
          <w:rFonts w:hint="eastAsia" w:ascii="宋体" w:hAnsi="宋体"/>
          <w:bCs/>
          <w:sz w:val="24"/>
          <w:highlight w:val="none"/>
        </w:rPr>
        <w:t>获证后监督</w:t>
      </w:r>
      <w:r>
        <w:rPr>
          <w:rFonts w:hint="eastAsia" w:ascii="宋体" w:hAnsi="宋体"/>
          <w:sz w:val="24"/>
          <w:highlight w:val="none"/>
        </w:rPr>
        <w:t>审核</w:t>
      </w:r>
      <w:r>
        <w:rPr>
          <w:rFonts w:hint="eastAsia" w:ascii="宋体" w:hAnsi="宋体"/>
          <w:bCs/>
          <w:sz w:val="24"/>
          <w:highlight w:val="none"/>
        </w:rPr>
        <w:t>的内容</w:t>
      </w:r>
    </w:p>
    <w:p>
      <w:pPr>
        <w:spacing w:line="360" w:lineRule="auto"/>
        <w:ind w:firstLine="480" w:firstLineChars="200"/>
        <w:rPr>
          <w:rFonts w:hint="eastAsia" w:ascii="宋体" w:hAnsi="宋体"/>
          <w:sz w:val="24"/>
          <w:highlight w:val="none"/>
        </w:rPr>
      </w:pPr>
      <w:r>
        <w:rPr>
          <w:rFonts w:hint="eastAsia" w:ascii="宋体" w:hAnsi="宋体"/>
          <w:sz w:val="24"/>
          <w:highlight w:val="none"/>
        </w:rPr>
        <w:t>获证后监督审核的内容至少包括对以下方面的审查：</w:t>
      </w:r>
    </w:p>
    <w:p>
      <w:pPr>
        <w:pStyle w:val="5"/>
        <w:numPr>
          <w:ilvl w:val="0"/>
          <w:numId w:val="8"/>
        </w:numPr>
        <w:spacing w:line="360" w:lineRule="auto"/>
        <w:ind w:leftChars="0" w:firstLineChars="0"/>
        <w:rPr>
          <w:rFonts w:hint="eastAsia" w:hAnsi="宋体"/>
          <w:sz w:val="24"/>
          <w:szCs w:val="24"/>
          <w:highlight w:val="none"/>
        </w:rPr>
      </w:pPr>
      <w:r>
        <w:rPr>
          <w:rFonts w:hint="eastAsia" w:hAnsi="宋体"/>
          <w:sz w:val="24"/>
          <w:szCs w:val="24"/>
          <w:highlight w:val="none"/>
        </w:rPr>
        <w:t>内部审核和管理评审；</w:t>
      </w:r>
    </w:p>
    <w:p>
      <w:pPr>
        <w:pStyle w:val="5"/>
        <w:numPr>
          <w:ilvl w:val="0"/>
          <w:numId w:val="8"/>
        </w:numPr>
        <w:spacing w:line="360" w:lineRule="auto"/>
        <w:ind w:leftChars="0" w:firstLineChars="0"/>
        <w:rPr>
          <w:rFonts w:hint="eastAsia" w:hAnsi="宋体"/>
          <w:sz w:val="24"/>
          <w:szCs w:val="24"/>
          <w:highlight w:val="none"/>
        </w:rPr>
      </w:pPr>
      <w:r>
        <w:rPr>
          <w:rFonts w:hint="eastAsia" w:hAnsi="宋体"/>
          <w:sz w:val="24"/>
          <w:szCs w:val="24"/>
          <w:highlight w:val="none"/>
        </w:rPr>
        <w:t>对上次审核中确定的不符合采取的措施；</w:t>
      </w:r>
    </w:p>
    <w:p>
      <w:pPr>
        <w:pStyle w:val="5"/>
        <w:numPr>
          <w:ilvl w:val="0"/>
          <w:numId w:val="8"/>
        </w:numPr>
        <w:spacing w:line="360" w:lineRule="auto"/>
        <w:ind w:leftChars="0" w:firstLineChars="0"/>
        <w:rPr>
          <w:rFonts w:hint="eastAsia" w:hAnsi="宋体"/>
          <w:sz w:val="24"/>
          <w:szCs w:val="24"/>
          <w:highlight w:val="none"/>
        </w:rPr>
      </w:pPr>
      <w:r>
        <w:rPr>
          <w:rFonts w:hint="eastAsia" w:hAnsi="宋体"/>
          <w:sz w:val="24"/>
          <w:szCs w:val="24"/>
          <w:highlight w:val="none"/>
        </w:rPr>
        <w:t>投诉的处理；</w:t>
      </w:r>
    </w:p>
    <w:p>
      <w:pPr>
        <w:pStyle w:val="5"/>
        <w:numPr>
          <w:ilvl w:val="0"/>
          <w:numId w:val="8"/>
        </w:numPr>
        <w:spacing w:line="360" w:lineRule="auto"/>
        <w:ind w:leftChars="0" w:firstLineChars="0"/>
        <w:rPr>
          <w:rFonts w:hint="eastAsia" w:hAnsi="宋体"/>
          <w:sz w:val="24"/>
          <w:szCs w:val="24"/>
          <w:highlight w:val="none"/>
        </w:rPr>
      </w:pPr>
      <w:r>
        <w:rPr>
          <w:rFonts w:hint="eastAsia" w:hAnsi="宋体"/>
          <w:sz w:val="24"/>
          <w:szCs w:val="24"/>
          <w:highlight w:val="none"/>
        </w:rPr>
        <w:t>HSE管理体系在实现目标方面的有效性；</w:t>
      </w:r>
    </w:p>
    <w:p>
      <w:pPr>
        <w:pStyle w:val="5"/>
        <w:numPr>
          <w:ilvl w:val="0"/>
          <w:numId w:val="8"/>
        </w:numPr>
        <w:spacing w:line="360" w:lineRule="auto"/>
        <w:ind w:leftChars="0" w:firstLineChars="0"/>
        <w:rPr>
          <w:rFonts w:hint="eastAsia" w:hAnsi="宋体"/>
          <w:sz w:val="24"/>
          <w:szCs w:val="24"/>
          <w:highlight w:val="none"/>
        </w:rPr>
      </w:pPr>
      <w:r>
        <w:rPr>
          <w:rFonts w:hint="eastAsia" w:hAnsi="宋体"/>
          <w:sz w:val="24"/>
          <w:szCs w:val="24"/>
          <w:highlight w:val="none"/>
        </w:rPr>
        <w:t>为持续改进而策划的活动的进展；</w:t>
      </w:r>
    </w:p>
    <w:p>
      <w:pPr>
        <w:pStyle w:val="5"/>
        <w:numPr>
          <w:ilvl w:val="0"/>
          <w:numId w:val="8"/>
        </w:numPr>
        <w:spacing w:line="360" w:lineRule="auto"/>
        <w:ind w:leftChars="0" w:firstLineChars="0"/>
        <w:rPr>
          <w:rFonts w:hint="eastAsia" w:hAnsi="宋体"/>
          <w:sz w:val="24"/>
          <w:szCs w:val="24"/>
          <w:highlight w:val="none"/>
        </w:rPr>
      </w:pPr>
      <w:r>
        <w:rPr>
          <w:rFonts w:hint="eastAsia" w:hAnsi="宋体"/>
          <w:sz w:val="24"/>
          <w:szCs w:val="24"/>
          <w:highlight w:val="none"/>
        </w:rPr>
        <w:t>持续的运作控制；</w:t>
      </w:r>
    </w:p>
    <w:p>
      <w:pPr>
        <w:pStyle w:val="5"/>
        <w:numPr>
          <w:ilvl w:val="0"/>
          <w:numId w:val="8"/>
        </w:numPr>
        <w:spacing w:line="360" w:lineRule="auto"/>
        <w:ind w:leftChars="0" w:firstLineChars="0"/>
        <w:rPr>
          <w:rFonts w:hint="eastAsia" w:hAnsi="宋体"/>
          <w:sz w:val="24"/>
          <w:szCs w:val="24"/>
          <w:highlight w:val="none"/>
        </w:rPr>
      </w:pPr>
      <w:r>
        <w:rPr>
          <w:rFonts w:hAnsi="宋体"/>
          <w:sz w:val="24"/>
          <w:szCs w:val="24"/>
          <w:highlight w:val="none"/>
        </w:rPr>
        <w:t>绩效</w:t>
      </w:r>
      <w:r>
        <w:rPr>
          <w:rFonts w:hint="eastAsia" w:hAnsi="宋体"/>
          <w:sz w:val="24"/>
          <w:szCs w:val="24"/>
          <w:highlight w:val="none"/>
        </w:rPr>
        <w:t>；</w:t>
      </w:r>
    </w:p>
    <w:p>
      <w:pPr>
        <w:pStyle w:val="5"/>
        <w:numPr>
          <w:ilvl w:val="0"/>
          <w:numId w:val="8"/>
        </w:numPr>
        <w:spacing w:line="360" w:lineRule="auto"/>
        <w:ind w:leftChars="0" w:firstLineChars="0"/>
        <w:rPr>
          <w:rFonts w:hint="eastAsia" w:hAnsi="宋体"/>
          <w:sz w:val="24"/>
          <w:szCs w:val="24"/>
          <w:highlight w:val="none"/>
        </w:rPr>
      </w:pPr>
      <w:r>
        <w:rPr>
          <w:rFonts w:hint="eastAsia" w:hAnsi="宋体"/>
          <w:sz w:val="24"/>
          <w:szCs w:val="24"/>
          <w:highlight w:val="none"/>
        </w:rPr>
        <w:t>任何情况的变更（如机构、职责、文件、区域、活动、产品、服务等）以及变更对体系运行符合性和有效性的影响 ；</w:t>
      </w:r>
    </w:p>
    <w:p>
      <w:pPr>
        <w:pStyle w:val="5"/>
        <w:numPr>
          <w:ilvl w:val="0"/>
          <w:numId w:val="8"/>
        </w:numPr>
        <w:spacing w:line="360" w:lineRule="auto"/>
        <w:ind w:leftChars="0" w:firstLineChars="0"/>
        <w:rPr>
          <w:rFonts w:hint="eastAsia" w:hAnsi="宋体"/>
          <w:sz w:val="24"/>
          <w:szCs w:val="24"/>
          <w:highlight w:val="none"/>
        </w:rPr>
      </w:pPr>
      <w:r>
        <w:rPr>
          <w:rFonts w:hint="eastAsia" w:hAnsi="宋体"/>
          <w:sz w:val="24"/>
          <w:szCs w:val="24"/>
          <w:highlight w:val="none"/>
        </w:rPr>
        <w:t>证书的使用和（或）任何其他对认证资格的引用。</w:t>
      </w:r>
    </w:p>
    <w:p>
      <w:pPr>
        <w:spacing w:line="360" w:lineRule="auto"/>
        <w:ind w:firstLine="480" w:firstLineChars="200"/>
        <w:rPr>
          <w:rFonts w:hint="eastAsia" w:ascii="宋体" w:hAnsi="宋体"/>
          <w:sz w:val="24"/>
          <w:highlight w:val="none"/>
        </w:rPr>
      </w:pPr>
      <w:r>
        <w:rPr>
          <w:rFonts w:hint="eastAsia" w:ascii="宋体" w:hAnsi="宋体"/>
          <w:sz w:val="24"/>
          <w:highlight w:val="none"/>
        </w:rPr>
        <w:t>获证组织应保存全部投诉记录，需要时提供认证机构。</w:t>
      </w:r>
    </w:p>
    <w:p>
      <w:pPr>
        <w:spacing w:line="360" w:lineRule="auto"/>
        <w:ind w:firstLine="480" w:firstLineChars="200"/>
        <w:rPr>
          <w:rFonts w:hint="eastAsia" w:ascii="宋体" w:hAnsi="宋体"/>
          <w:sz w:val="24"/>
          <w:highlight w:val="none"/>
        </w:rPr>
      </w:pPr>
      <w:r>
        <w:rPr>
          <w:rFonts w:hint="eastAsia" w:ascii="宋体" w:hAnsi="宋体"/>
          <w:sz w:val="24"/>
          <w:highlight w:val="none"/>
        </w:rPr>
        <w:t>方圆集团公司根据以上信息对获证组织HSE管理体系进行审核，确认其是否持续满足认证要求。</w:t>
      </w:r>
    </w:p>
    <w:p>
      <w:pPr>
        <w:pStyle w:val="4"/>
        <w:ind w:left="478" w:hanging="478"/>
        <w:rPr>
          <w:rFonts w:hint="eastAsia" w:ascii="宋体" w:hAnsi="宋体" w:eastAsia="宋体"/>
          <w:b w:val="0"/>
          <w:highlight w:val="none"/>
        </w:rPr>
      </w:pPr>
      <w:r>
        <w:rPr>
          <w:rFonts w:hint="eastAsia" w:ascii="宋体" w:hAnsi="宋体" w:eastAsia="宋体"/>
          <w:b w:val="0"/>
          <w:highlight w:val="none"/>
        </w:rPr>
        <w:t>7.</w:t>
      </w:r>
      <w:r>
        <w:rPr>
          <w:rFonts w:ascii="宋体" w:hAnsi="宋体" w:eastAsia="宋体"/>
          <w:b w:val="0"/>
          <w:highlight w:val="none"/>
        </w:rPr>
        <w:t>2.3</w:t>
      </w:r>
      <w:r>
        <w:rPr>
          <w:rFonts w:hint="eastAsia" w:ascii="宋体" w:hAnsi="宋体" w:eastAsia="宋体"/>
          <w:b w:val="0"/>
          <w:highlight w:val="none"/>
        </w:rPr>
        <w:t xml:space="preserve"> 再认证</w:t>
      </w:r>
    </w:p>
    <w:p>
      <w:pPr>
        <w:spacing w:line="360" w:lineRule="auto"/>
        <w:ind w:firstLine="480" w:firstLineChars="200"/>
        <w:rPr>
          <w:rFonts w:hint="eastAsia" w:ascii="宋体" w:hAnsi="宋体"/>
          <w:sz w:val="24"/>
          <w:highlight w:val="none"/>
        </w:rPr>
      </w:pPr>
      <w:r>
        <w:rPr>
          <w:rFonts w:hint="eastAsia" w:ascii="宋体" w:hAnsi="宋体"/>
          <w:sz w:val="24"/>
          <w:highlight w:val="none"/>
        </w:rPr>
        <w:t>HSE管理体系认证证书有效期为3年，获证组织在证书有效期满前至少三个月，提出再认证申请。再认证的目的是验证作为一个整体的组织</w:t>
      </w:r>
      <w:r>
        <w:rPr>
          <w:rFonts w:hint="eastAsia" w:ascii="宋体" w:hAnsi="宋体"/>
          <w:sz w:val="24"/>
          <w:highlight w:val="none"/>
          <w:lang w:val="en-GB"/>
        </w:rPr>
        <w:t>HSE</w:t>
      </w:r>
      <w:r>
        <w:rPr>
          <w:rFonts w:hint="eastAsia" w:ascii="宋体" w:hAnsi="宋体"/>
          <w:sz w:val="24"/>
          <w:highlight w:val="none"/>
        </w:rPr>
        <w:t>管理体系全面的持续符合性和有效性，以及认证范围的持续相关性和适宜性。</w:t>
      </w:r>
    </w:p>
    <w:p>
      <w:pPr>
        <w:spacing w:line="360" w:lineRule="auto"/>
        <w:ind w:firstLine="480" w:firstLineChars="200"/>
        <w:rPr>
          <w:rFonts w:hint="eastAsia" w:ascii="宋体" w:hAnsi="宋体"/>
          <w:sz w:val="24"/>
          <w:highlight w:val="none"/>
        </w:rPr>
      </w:pPr>
      <w:r>
        <w:rPr>
          <w:rFonts w:hint="eastAsia" w:ascii="宋体" w:hAnsi="宋体"/>
          <w:sz w:val="24"/>
          <w:highlight w:val="none"/>
        </w:rPr>
        <w:t>再认证至少应确保：</w:t>
      </w:r>
    </w:p>
    <w:p>
      <w:pPr>
        <w:pStyle w:val="5"/>
        <w:numPr>
          <w:ilvl w:val="0"/>
          <w:numId w:val="9"/>
        </w:numPr>
        <w:spacing w:line="360" w:lineRule="auto"/>
        <w:ind w:leftChars="0" w:firstLineChars="0"/>
        <w:rPr>
          <w:rFonts w:hint="eastAsia" w:hAnsi="宋体"/>
          <w:sz w:val="24"/>
          <w:szCs w:val="24"/>
          <w:highlight w:val="none"/>
        </w:rPr>
      </w:pPr>
      <w:r>
        <w:rPr>
          <w:rFonts w:hint="eastAsia" w:hAnsi="宋体"/>
          <w:sz w:val="24"/>
          <w:szCs w:val="24"/>
          <w:highlight w:val="none"/>
        </w:rPr>
        <w:t>整个管理体系的有效性（包括内部和外部情况变更后其体系整体上的有效性），以及认证范围的持续相关性和适宜性；</w:t>
      </w:r>
    </w:p>
    <w:p>
      <w:pPr>
        <w:pStyle w:val="5"/>
        <w:numPr>
          <w:ilvl w:val="0"/>
          <w:numId w:val="9"/>
        </w:numPr>
        <w:spacing w:line="360" w:lineRule="auto"/>
        <w:ind w:leftChars="0" w:firstLineChars="0"/>
        <w:rPr>
          <w:rFonts w:hint="eastAsia" w:hAnsi="宋体"/>
          <w:sz w:val="24"/>
          <w:szCs w:val="24"/>
          <w:highlight w:val="none"/>
        </w:rPr>
      </w:pPr>
      <w:r>
        <w:rPr>
          <w:rFonts w:hint="eastAsia" w:hAnsi="宋体"/>
          <w:sz w:val="24"/>
          <w:szCs w:val="24"/>
          <w:highlight w:val="none"/>
        </w:rPr>
        <w:t>经证实的管理体系的改进；</w:t>
      </w:r>
    </w:p>
    <w:p>
      <w:pPr>
        <w:pStyle w:val="5"/>
        <w:numPr>
          <w:ilvl w:val="0"/>
          <w:numId w:val="9"/>
        </w:numPr>
        <w:spacing w:line="360" w:lineRule="auto"/>
        <w:ind w:left="420" w:leftChars="0" w:firstLine="6" w:firstLineChars="0"/>
        <w:rPr>
          <w:rFonts w:hint="eastAsia" w:hAnsi="宋体"/>
          <w:sz w:val="24"/>
          <w:szCs w:val="24"/>
          <w:highlight w:val="none"/>
        </w:rPr>
      </w:pPr>
      <w:r>
        <w:rPr>
          <w:rFonts w:hint="eastAsia" w:hAnsi="宋体"/>
          <w:sz w:val="24"/>
          <w:szCs w:val="24"/>
          <w:highlight w:val="none"/>
        </w:rPr>
        <w:t>管理体系的运行是否促进了组织方针和目标的实现；</w:t>
      </w:r>
    </w:p>
    <w:p>
      <w:pPr>
        <w:pStyle w:val="5"/>
        <w:numPr>
          <w:ilvl w:val="0"/>
          <w:numId w:val="9"/>
        </w:numPr>
        <w:spacing w:line="360" w:lineRule="auto"/>
        <w:ind w:left="420" w:leftChars="0" w:firstLine="6" w:firstLineChars="0"/>
        <w:rPr>
          <w:rFonts w:hint="eastAsia" w:hAnsi="宋体"/>
          <w:sz w:val="24"/>
          <w:szCs w:val="24"/>
          <w:highlight w:val="none"/>
        </w:rPr>
      </w:pPr>
      <w:r>
        <w:rPr>
          <w:rFonts w:hint="eastAsia" w:hAnsi="宋体"/>
          <w:sz w:val="24"/>
          <w:szCs w:val="24"/>
          <w:highlight w:val="none"/>
        </w:rPr>
        <w:t>再认证不符合关闭应在原证书有效期前完成。</w:t>
      </w:r>
    </w:p>
    <w:p>
      <w:pPr>
        <w:spacing w:line="360" w:lineRule="auto"/>
        <w:ind w:firstLine="480" w:firstLineChars="200"/>
        <w:rPr>
          <w:rFonts w:hint="eastAsia" w:ascii="宋体" w:hAnsi="宋体"/>
          <w:sz w:val="24"/>
          <w:highlight w:val="none"/>
        </w:rPr>
      </w:pPr>
      <w:r>
        <w:rPr>
          <w:rFonts w:hint="eastAsia" w:ascii="宋体" w:hAnsi="宋体"/>
          <w:sz w:val="24"/>
          <w:highlight w:val="none"/>
        </w:rPr>
        <w:t>在对获证组织日常监督中，发现获证组织的出现严重影响</w:t>
      </w:r>
      <w:r>
        <w:rPr>
          <w:rFonts w:hint="eastAsia" w:ascii="宋体" w:hAnsi="宋体"/>
          <w:sz w:val="24"/>
          <w:highlight w:val="none"/>
          <w:lang w:val="en-GB"/>
        </w:rPr>
        <w:t>HSE</w:t>
      </w:r>
      <w:r>
        <w:rPr>
          <w:rFonts w:hint="eastAsia" w:ascii="宋体" w:hAnsi="宋体"/>
          <w:sz w:val="24"/>
          <w:highlight w:val="none"/>
        </w:rPr>
        <w:t>管理体系运作和活动、产品和服务有重大变更时，或对获证组织的投诉分析和其他信息表明获证组织不再满足认证要求时，将安排特殊审核或与获证组织商定提前安排再认证。</w:t>
      </w:r>
    </w:p>
    <w:p>
      <w:pPr>
        <w:spacing w:line="360" w:lineRule="auto"/>
        <w:ind w:firstLine="480" w:firstLineChars="200"/>
        <w:rPr>
          <w:rFonts w:hint="eastAsia" w:ascii="宋体" w:hAnsi="宋体"/>
          <w:sz w:val="24"/>
          <w:highlight w:val="none"/>
        </w:rPr>
      </w:pPr>
      <w:r>
        <w:rPr>
          <w:rFonts w:hint="eastAsia" w:ascii="宋体" w:hAnsi="宋体"/>
          <w:sz w:val="24"/>
          <w:highlight w:val="none"/>
        </w:rPr>
        <w:t>当管理体系、获证组织或管理体系的运作环境（如法律的变更）有重大变更时，再认证活动可能需要有第一阶段审核。</w:t>
      </w:r>
    </w:p>
    <w:p>
      <w:pPr>
        <w:pStyle w:val="2"/>
        <w:spacing w:line="600" w:lineRule="auto"/>
        <w:rPr>
          <w:rFonts w:hint="eastAsia" w:ascii="宋体" w:hAnsi="宋体"/>
          <w:highlight w:val="none"/>
        </w:rPr>
      </w:pPr>
      <w:bookmarkStart w:id="48" w:name="_Toc30792"/>
      <w:bookmarkStart w:id="49" w:name="_Toc16630"/>
      <w:r>
        <w:rPr>
          <w:rFonts w:hint="eastAsia" w:ascii="宋体" w:hAnsi="宋体"/>
          <w:highlight w:val="none"/>
        </w:rPr>
        <w:t>8 不符合</w:t>
      </w:r>
      <w:bookmarkEnd w:id="48"/>
      <w:bookmarkEnd w:id="49"/>
    </w:p>
    <w:p>
      <w:pPr>
        <w:spacing w:line="360" w:lineRule="auto"/>
        <w:rPr>
          <w:rFonts w:hint="eastAsia" w:ascii="宋体" w:hAnsi="宋体"/>
          <w:sz w:val="24"/>
          <w:highlight w:val="none"/>
        </w:rPr>
      </w:pPr>
      <w:r>
        <w:rPr>
          <w:rFonts w:hint="eastAsia" w:ascii="宋体" w:hAnsi="宋体"/>
          <w:sz w:val="24"/>
          <w:highlight w:val="none"/>
        </w:rPr>
        <w:t>8.1 审核组应当根据审核发现形成严重或一般不符合，要求受审核方在规定的时限内对不符合进行原因分析、采取相应的纠正和纠正措施（一般不符合可以是纠正措施计划），并提供这些措施的证据。。</w:t>
      </w:r>
    </w:p>
    <w:p>
      <w:pPr>
        <w:spacing w:line="360" w:lineRule="auto"/>
        <w:rPr>
          <w:rFonts w:hint="eastAsia" w:ascii="宋体" w:hAnsi="宋体"/>
          <w:sz w:val="24"/>
          <w:highlight w:val="none"/>
        </w:rPr>
      </w:pPr>
      <w:r>
        <w:rPr>
          <w:rFonts w:hint="eastAsia" w:ascii="宋体" w:hAnsi="宋体"/>
          <w:sz w:val="24"/>
          <w:highlight w:val="none"/>
        </w:rPr>
        <w:t>8.2 验证可以有书面验证和现场验证，审核组长依据不符合报告的性质进行选择。一般情况下，一般不符合可以书面验证，严重不符合视情况可以选择现场验证，也可以书面验证。</w:t>
      </w:r>
    </w:p>
    <w:p>
      <w:pPr>
        <w:pStyle w:val="5"/>
        <w:spacing w:line="360" w:lineRule="auto"/>
        <w:ind w:left="0" w:leftChars="0" w:firstLine="480" w:firstLineChars="200"/>
        <w:rPr>
          <w:rFonts w:hint="eastAsia" w:hAnsi="宋体"/>
          <w:sz w:val="24"/>
          <w:highlight w:val="none"/>
        </w:rPr>
      </w:pPr>
      <w:r>
        <w:rPr>
          <w:rFonts w:hint="eastAsia" w:hAnsi="宋体"/>
          <w:sz w:val="24"/>
          <w:szCs w:val="24"/>
          <w:highlight w:val="none"/>
        </w:rPr>
        <w:t>书面验证时必须验证受审核方所提供的证实性材料的有效性、完整性。对不符合的验证活动通常由审核组长或其他审核员完成。</w:t>
      </w:r>
      <w:r>
        <w:rPr>
          <w:rFonts w:hint="eastAsia" w:hAnsi="宋体"/>
          <w:sz w:val="24"/>
          <w:highlight w:val="none"/>
        </w:rPr>
        <w:t>对不符合进行现场验证时</w:t>
      </w:r>
      <w:r>
        <w:rPr>
          <w:rFonts w:hint="eastAsia" w:hAnsi="宋体"/>
          <w:kern w:val="2"/>
          <w:sz w:val="24"/>
          <w:szCs w:val="24"/>
          <w:highlight w:val="none"/>
        </w:rPr>
        <w:t>审核组应已审查、接受和验证了纠正和纠正措施及这些措施有效性的证据</w:t>
      </w:r>
      <w:r>
        <w:rPr>
          <w:rFonts w:hint="eastAsia" w:hAnsi="宋体"/>
          <w:sz w:val="24"/>
          <w:highlight w:val="none"/>
        </w:rPr>
        <w:t>。</w:t>
      </w:r>
    </w:p>
    <w:p>
      <w:pPr>
        <w:pStyle w:val="5"/>
        <w:spacing w:line="360" w:lineRule="auto"/>
        <w:ind w:left="0" w:leftChars="0" w:firstLine="480" w:firstLineChars="200"/>
        <w:rPr>
          <w:rFonts w:hint="eastAsia" w:hAnsi="宋体"/>
          <w:sz w:val="24"/>
          <w:highlight w:val="none"/>
        </w:rPr>
      </w:pPr>
      <w:r>
        <w:rPr>
          <w:rFonts w:hint="eastAsia" w:hAnsi="宋体"/>
          <w:kern w:val="2"/>
          <w:sz w:val="24"/>
          <w:szCs w:val="24"/>
          <w:highlight w:val="none"/>
        </w:rPr>
        <w:t>对于多场所组织，如果任一场所出现严重不符合，在得到满意的纠正措施之前不应对整个多场所组织所列的场所进行认证</w:t>
      </w:r>
      <w:r>
        <w:rPr>
          <w:rFonts w:hint="eastAsia" w:hAnsi="宋体"/>
          <w:sz w:val="24"/>
          <w:highlight w:val="none"/>
        </w:rPr>
        <w:t>。</w:t>
      </w:r>
    </w:p>
    <w:p>
      <w:pPr>
        <w:spacing w:line="360" w:lineRule="auto"/>
        <w:rPr>
          <w:rFonts w:hint="eastAsia" w:ascii="宋体" w:hAnsi="宋体"/>
          <w:sz w:val="24"/>
          <w:highlight w:val="none"/>
        </w:rPr>
      </w:pPr>
      <w:r>
        <w:rPr>
          <w:rFonts w:hint="eastAsia" w:ascii="宋体" w:hAnsi="宋体"/>
          <w:sz w:val="24"/>
          <w:highlight w:val="none"/>
        </w:rPr>
        <w:t>8.3 严重不符合项的验证时限，并至少满足：</w:t>
      </w:r>
    </w:p>
    <w:p>
      <w:pPr>
        <w:pStyle w:val="10"/>
        <w:spacing w:after="0" w:line="360" w:lineRule="auto"/>
        <w:ind w:left="0" w:leftChars="0" w:firstLine="480" w:firstLineChars="200"/>
        <w:rPr>
          <w:rFonts w:hint="eastAsia" w:ascii="宋体" w:hAnsi="宋体"/>
          <w:bCs/>
          <w:iCs/>
          <w:sz w:val="24"/>
          <w:highlight w:val="none"/>
        </w:rPr>
      </w:pPr>
      <w:r>
        <w:rPr>
          <w:rFonts w:hint="eastAsia" w:ascii="宋体" w:hAnsi="宋体"/>
          <w:bCs/>
          <w:iCs/>
          <w:sz w:val="24"/>
          <w:highlight w:val="none"/>
        </w:rPr>
        <w:t>a）初次认证：在二阶段审核结束之日起6个月内完成；</w:t>
      </w:r>
    </w:p>
    <w:p>
      <w:pPr>
        <w:pStyle w:val="10"/>
        <w:spacing w:after="0" w:line="360" w:lineRule="auto"/>
        <w:ind w:left="0" w:leftChars="0" w:firstLine="480" w:firstLineChars="200"/>
        <w:rPr>
          <w:rFonts w:hint="eastAsia" w:ascii="宋体" w:hAnsi="宋体"/>
          <w:bCs/>
          <w:iCs/>
          <w:sz w:val="24"/>
          <w:highlight w:val="none"/>
        </w:rPr>
      </w:pPr>
      <w:r>
        <w:rPr>
          <w:rFonts w:hint="eastAsia" w:ascii="宋体" w:hAnsi="宋体"/>
          <w:bCs/>
          <w:iCs/>
          <w:sz w:val="24"/>
          <w:highlight w:val="none"/>
        </w:rPr>
        <w:t>b）监督审核：在审核结束之日起15个工作日内完成；</w:t>
      </w:r>
    </w:p>
    <w:p>
      <w:pPr>
        <w:pStyle w:val="10"/>
        <w:spacing w:after="0" w:line="360" w:lineRule="auto"/>
        <w:ind w:left="0" w:leftChars="0" w:firstLine="480" w:firstLineChars="200"/>
        <w:rPr>
          <w:rFonts w:hint="eastAsia" w:ascii="宋体" w:hAnsi="宋体"/>
          <w:bCs/>
          <w:iCs/>
          <w:sz w:val="24"/>
          <w:highlight w:val="none"/>
        </w:rPr>
      </w:pPr>
      <w:r>
        <w:rPr>
          <w:rFonts w:hint="eastAsia" w:ascii="宋体" w:hAnsi="宋体"/>
          <w:bCs/>
          <w:iCs/>
          <w:sz w:val="24"/>
          <w:highlight w:val="none"/>
        </w:rPr>
        <w:t>c）再认证：在原证书到期前完成。</w:t>
      </w:r>
    </w:p>
    <w:p>
      <w:pPr>
        <w:pStyle w:val="10"/>
        <w:spacing w:after="0" w:line="360" w:lineRule="auto"/>
        <w:ind w:left="0" w:leftChars="0"/>
        <w:rPr>
          <w:rFonts w:hint="eastAsia" w:ascii="宋体" w:hAnsi="宋体"/>
          <w:bCs/>
          <w:iCs/>
          <w:sz w:val="24"/>
          <w:highlight w:val="none"/>
        </w:rPr>
      </w:pPr>
      <w:r>
        <w:rPr>
          <w:rFonts w:hint="eastAsia" w:ascii="宋体" w:hAnsi="宋体"/>
          <w:bCs/>
          <w:iCs/>
          <w:sz w:val="24"/>
          <w:highlight w:val="none"/>
        </w:rPr>
        <w:t xml:space="preserve">8.4 </w:t>
      </w:r>
      <w:r>
        <w:rPr>
          <w:rFonts w:hint="eastAsia" w:ascii="宋体" w:hAnsi="宋体"/>
          <w:sz w:val="24"/>
          <w:highlight w:val="none"/>
        </w:rPr>
        <w:t>一般不符合项的验证应当在一个月内完成。</w:t>
      </w:r>
    </w:p>
    <w:p>
      <w:pPr>
        <w:spacing w:line="360" w:lineRule="auto"/>
        <w:rPr>
          <w:rFonts w:hint="eastAsia" w:ascii="宋体" w:hAnsi="宋体"/>
          <w:sz w:val="24"/>
          <w:highlight w:val="none"/>
        </w:rPr>
      </w:pPr>
      <w:r>
        <w:rPr>
          <w:rFonts w:hint="eastAsia" w:ascii="宋体" w:hAnsi="宋体"/>
          <w:sz w:val="24"/>
          <w:highlight w:val="none"/>
        </w:rPr>
        <w:t>8.5 对于认证组织未能在规定的时限完成对不符合所采取措施的情况，审核组不应当给予该受审核方推荐认证、保持认证或再认证。</w:t>
      </w:r>
    </w:p>
    <w:p>
      <w:pPr>
        <w:pStyle w:val="2"/>
        <w:spacing w:line="600" w:lineRule="auto"/>
        <w:rPr>
          <w:rFonts w:hint="eastAsia" w:ascii="宋体" w:hAnsi="宋体"/>
          <w:highlight w:val="none"/>
        </w:rPr>
      </w:pPr>
      <w:bookmarkStart w:id="50" w:name="_Toc21851"/>
      <w:bookmarkStart w:id="51" w:name="_Toc3969"/>
      <w:r>
        <w:rPr>
          <w:rFonts w:hint="eastAsia" w:ascii="宋体" w:hAnsi="宋体"/>
          <w:highlight w:val="none"/>
        </w:rPr>
        <w:t>9 审核报告</w:t>
      </w:r>
      <w:bookmarkEnd w:id="50"/>
      <w:bookmarkEnd w:id="51"/>
    </w:p>
    <w:p>
      <w:pPr>
        <w:spacing w:line="360" w:lineRule="auto"/>
        <w:rPr>
          <w:rFonts w:hint="eastAsia" w:ascii="宋体" w:hAnsi="宋体"/>
          <w:sz w:val="24"/>
          <w:highlight w:val="none"/>
        </w:rPr>
      </w:pPr>
      <w:r>
        <w:rPr>
          <w:rFonts w:hint="eastAsia" w:ascii="宋体" w:hAnsi="宋体"/>
          <w:sz w:val="24"/>
          <w:highlight w:val="none"/>
        </w:rPr>
        <w:t>9.1 审核组长应确保审核报告的编制，并应对审核报告的内容负责。多场所组织审核时，如果不只一个审核组参与了整个管理体系的审核，应由指定的一名审核组长负责编写综合审核报告。</w:t>
      </w:r>
    </w:p>
    <w:p>
      <w:pPr>
        <w:spacing w:line="360" w:lineRule="auto"/>
        <w:rPr>
          <w:rFonts w:hint="eastAsia" w:ascii="宋体" w:hAnsi="宋体"/>
          <w:sz w:val="24"/>
          <w:highlight w:val="none"/>
        </w:rPr>
      </w:pPr>
      <w:r>
        <w:rPr>
          <w:rFonts w:hint="eastAsia" w:ascii="宋体" w:hAnsi="宋体"/>
          <w:sz w:val="24"/>
          <w:highlight w:val="none"/>
        </w:rPr>
        <w:t>9.2 审核报告提供对审核的准确、简明和清晰的记录，审核报告的内容反映受审核方管理体系的真实状况，描述对照相应认证标准的符合性和有效性的客观证据信息，认证组织管理体系所取得的绩效以及与其预期管理体系目标之间存在的差距和改进机会，对认证结论的推荐意见。以便为认证决定提供充分的信息。</w:t>
      </w:r>
    </w:p>
    <w:p>
      <w:pPr>
        <w:pStyle w:val="2"/>
        <w:spacing w:line="600" w:lineRule="auto"/>
        <w:rPr>
          <w:rFonts w:hint="eastAsia" w:ascii="宋体" w:hAnsi="宋体"/>
          <w:highlight w:val="none"/>
        </w:rPr>
      </w:pPr>
      <w:bookmarkStart w:id="52" w:name="_Toc1001"/>
      <w:bookmarkStart w:id="53" w:name="_Toc18575"/>
      <w:r>
        <w:rPr>
          <w:rFonts w:hint="eastAsia" w:ascii="宋体" w:hAnsi="宋体"/>
          <w:highlight w:val="none"/>
        </w:rPr>
        <w:t>10 认证决定</w:t>
      </w:r>
      <w:bookmarkEnd w:id="52"/>
      <w:bookmarkEnd w:id="53"/>
    </w:p>
    <w:p>
      <w:pPr>
        <w:spacing w:line="360" w:lineRule="auto"/>
        <w:rPr>
          <w:rFonts w:hint="eastAsia" w:ascii="宋体" w:hAnsi="宋体"/>
          <w:sz w:val="24"/>
          <w:highlight w:val="none"/>
        </w:rPr>
      </w:pPr>
      <w:r>
        <w:rPr>
          <w:rFonts w:hint="eastAsia" w:ascii="宋体" w:hAnsi="宋体"/>
          <w:sz w:val="24"/>
          <w:highlight w:val="none"/>
        </w:rPr>
        <w:t>10.1 CQM在对审核报告、不符合项的纠正和纠正措施及其结果以及其他信息进行综合评价的基础上，作出认证决定。</w:t>
      </w:r>
    </w:p>
    <w:p>
      <w:pPr>
        <w:spacing w:line="360" w:lineRule="auto"/>
        <w:rPr>
          <w:rFonts w:hint="eastAsia" w:ascii="宋体" w:hAnsi="宋体"/>
          <w:sz w:val="24"/>
          <w:highlight w:val="none"/>
        </w:rPr>
      </w:pPr>
      <w:r>
        <w:rPr>
          <w:rFonts w:hint="eastAsia" w:ascii="宋体" w:hAnsi="宋体"/>
          <w:sz w:val="24"/>
          <w:highlight w:val="none"/>
        </w:rPr>
        <w:t>10.2 经评定，CQM有充分的证据确认受审核方满足下列条件时，可做出授予认证的决定：</w:t>
      </w:r>
    </w:p>
    <w:p>
      <w:pPr>
        <w:pStyle w:val="10"/>
        <w:spacing w:after="0" w:line="360" w:lineRule="auto"/>
        <w:ind w:left="0" w:leftChars="0" w:firstLine="480" w:firstLineChars="200"/>
        <w:rPr>
          <w:rFonts w:hint="eastAsia" w:ascii="宋体" w:hAnsi="宋体"/>
          <w:bCs/>
          <w:iCs/>
          <w:sz w:val="24"/>
          <w:highlight w:val="none"/>
        </w:rPr>
      </w:pPr>
      <w:r>
        <w:rPr>
          <w:rFonts w:hint="eastAsia" w:ascii="宋体" w:hAnsi="宋体"/>
          <w:bCs/>
          <w:iCs/>
          <w:sz w:val="24"/>
          <w:highlight w:val="none"/>
        </w:rPr>
        <w:t>a）认证组织具备应有的法定资格、资质；</w:t>
      </w:r>
    </w:p>
    <w:p>
      <w:pPr>
        <w:pStyle w:val="10"/>
        <w:spacing w:after="0" w:line="360" w:lineRule="auto"/>
        <w:ind w:left="0" w:leftChars="0" w:firstLine="480" w:firstLineChars="200"/>
        <w:rPr>
          <w:rFonts w:hint="eastAsia" w:ascii="宋体" w:hAnsi="宋体"/>
          <w:bCs/>
          <w:iCs/>
          <w:sz w:val="24"/>
          <w:highlight w:val="none"/>
        </w:rPr>
      </w:pPr>
      <w:r>
        <w:rPr>
          <w:rFonts w:hint="eastAsia" w:ascii="宋体" w:hAnsi="宋体"/>
          <w:bCs/>
          <w:iCs/>
          <w:sz w:val="24"/>
          <w:highlight w:val="none"/>
        </w:rPr>
        <w:t>b）认证范围覆盖的活动、产品和服务符合相关法律法规要求，未发生重大事故和严重违法行为；</w:t>
      </w:r>
      <w:r>
        <w:rPr>
          <w:rFonts w:hint="eastAsia" w:ascii="宋体" w:hAnsi="宋体" w:cs="宋体"/>
          <w:color w:val="222222"/>
          <w:sz w:val="24"/>
          <w:highlight w:val="none"/>
        </w:rPr>
        <w:t>未列入“国家企业信用信息公示系统”中“严重违法失信名单”、“信用中国”中“严重失信主体名单”</w:t>
      </w:r>
    </w:p>
    <w:p>
      <w:pPr>
        <w:pStyle w:val="10"/>
        <w:spacing w:after="0" w:line="360" w:lineRule="auto"/>
        <w:ind w:left="0" w:leftChars="0" w:firstLine="480" w:firstLineChars="200"/>
        <w:rPr>
          <w:rFonts w:hint="eastAsia" w:ascii="宋体" w:hAnsi="宋体"/>
          <w:bCs/>
          <w:iCs/>
          <w:sz w:val="24"/>
          <w:highlight w:val="none"/>
        </w:rPr>
      </w:pPr>
      <w:r>
        <w:rPr>
          <w:rFonts w:hint="eastAsia" w:ascii="宋体" w:hAnsi="宋体"/>
          <w:bCs/>
          <w:iCs/>
          <w:sz w:val="24"/>
          <w:highlight w:val="none"/>
        </w:rPr>
        <w:t>c）审核组开具的严重不符合，审核组已验证并关闭。开具的一般不符合，审核组已完成对组织的纠正和纠正措施/纠正措施计划实施验证；</w:t>
      </w:r>
    </w:p>
    <w:p>
      <w:pPr>
        <w:pStyle w:val="10"/>
        <w:spacing w:after="0" w:line="360" w:lineRule="auto"/>
        <w:ind w:left="0" w:leftChars="0" w:firstLine="480" w:firstLineChars="200"/>
        <w:rPr>
          <w:rFonts w:hint="eastAsia" w:ascii="宋体" w:hAnsi="宋体"/>
          <w:bCs/>
          <w:iCs/>
          <w:sz w:val="24"/>
          <w:highlight w:val="none"/>
        </w:rPr>
      </w:pPr>
      <w:r>
        <w:rPr>
          <w:rFonts w:hint="eastAsia" w:ascii="宋体" w:hAnsi="宋体"/>
          <w:bCs/>
          <w:iCs/>
          <w:sz w:val="24"/>
          <w:highlight w:val="none"/>
        </w:rPr>
        <w:t>d）受审核方的管理体系总体符合标准要求且运行有效。</w:t>
      </w:r>
    </w:p>
    <w:p>
      <w:pPr>
        <w:spacing w:line="360" w:lineRule="auto"/>
        <w:rPr>
          <w:rFonts w:hint="eastAsia" w:ascii="宋体" w:hAnsi="宋体"/>
          <w:sz w:val="24"/>
          <w:highlight w:val="none"/>
        </w:rPr>
      </w:pPr>
      <w:r>
        <w:rPr>
          <w:rFonts w:hint="eastAsia" w:ascii="宋体" w:hAnsi="宋体"/>
          <w:sz w:val="24"/>
          <w:highlight w:val="none"/>
        </w:rPr>
        <w:t>10.3 授予组织的认证范围基于组织的法律地位文件及审核范围，不得大于其营业执照范围和行政许可范围以及审核范围。</w:t>
      </w:r>
    </w:p>
    <w:p>
      <w:pPr>
        <w:spacing w:line="360" w:lineRule="auto"/>
        <w:rPr>
          <w:rFonts w:hint="eastAsia" w:ascii="宋体" w:hAnsi="宋体"/>
          <w:sz w:val="24"/>
          <w:highlight w:val="none"/>
        </w:rPr>
      </w:pPr>
      <w:r>
        <w:rPr>
          <w:rFonts w:hint="eastAsia" w:ascii="宋体" w:hAnsi="宋体"/>
          <w:sz w:val="24"/>
          <w:highlight w:val="none"/>
        </w:rPr>
        <w:t>10.4 监督审核无需独立的认证决定，CQM可根据审核组长的肯定性结论保持对组织的认证，除非需要暂停、撤销和变更认证证书的情况。</w:t>
      </w:r>
    </w:p>
    <w:p>
      <w:pPr>
        <w:spacing w:line="360" w:lineRule="auto"/>
        <w:jc w:val="left"/>
        <w:rPr>
          <w:rFonts w:hint="eastAsia" w:ascii="宋体" w:hAnsi="宋体"/>
          <w:sz w:val="24"/>
          <w:highlight w:val="none"/>
        </w:rPr>
      </w:pPr>
      <w:r>
        <w:rPr>
          <w:rFonts w:hint="eastAsia" w:ascii="宋体" w:hAnsi="宋体"/>
          <w:sz w:val="24"/>
          <w:highlight w:val="none"/>
        </w:rPr>
        <w:t>10.5 再认证审核的认证决定宜在上一认证周期认证证书到期前完成，最迟应当在证书到期之日起6个月内完成。</w:t>
      </w:r>
    </w:p>
    <w:p>
      <w:pPr>
        <w:spacing w:line="360" w:lineRule="auto"/>
        <w:rPr>
          <w:rFonts w:hint="eastAsia" w:ascii="宋体" w:hAnsi="宋体"/>
          <w:sz w:val="24"/>
          <w:highlight w:val="none"/>
        </w:rPr>
      </w:pPr>
    </w:p>
    <w:p>
      <w:pPr>
        <w:pStyle w:val="2"/>
        <w:rPr>
          <w:highlight w:val="none"/>
        </w:rPr>
      </w:pPr>
      <w:bookmarkStart w:id="54" w:name="_Toc85256281"/>
      <w:bookmarkStart w:id="55" w:name="_Toc85103626"/>
      <w:bookmarkStart w:id="56" w:name="_Toc85256251"/>
      <w:bookmarkStart w:id="57" w:name="_Toc85105515"/>
      <w:bookmarkStart w:id="58" w:name="_Toc16058"/>
      <w:bookmarkStart w:id="59" w:name="_Toc522697771"/>
      <w:bookmarkStart w:id="60" w:name="_Toc33599706"/>
      <w:bookmarkStart w:id="61" w:name="_Toc33600364"/>
      <w:bookmarkStart w:id="62" w:name="_Toc33600413"/>
      <w:bookmarkStart w:id="63" w:name="_Toc33599579"/>
      <w:bookmarkStart w:id="64" w:name="_Toc33598964"/>
      <w:bookmarkStart w:id="65" w:name="_Toc33598533"/>
      <w:bookmarkStart w:id="66" w:name="_Toc33598904"/>
      <w:r>
        <w:rPr>
          <w:rFonts w:hint="eastAsia"/>
          <w:highlight w:val="none"/>
        </w:rPr>
        <w:t>11批准、保持、扩大、缩小、暂停、恢复和撤消的条件</w:t>
      </w:r>
      <w:bookmarkEnd w:id="54"/>
      <w:bookmarkEnd w:id="55"/>
      <w:bookmarkEnd w:id="56"/>
      <w:bookmarkEnd w:id="57"/>
      <w:r>
        <w:rPr>
          <w:rFonts w:hint="eastAsia"/>
          <w:highlight w:val="none"/>
        </w:rPr>
        <w:t>和程序</w:t>
      </w:r>
      <w:bookmarkEnd w:id="58"/>
      <w:bookmarkEnd w:id="59"/>
    </w:p>
    <w:p>
      <w:pPr>
        <w:pStyle w:val="3"/>
        <w:rPr>
          <w:rFonts w:hint="eastAsia" w:ascii="宋体" w:hAnsi="宋体" w:eastAsia="宋体"/>
          <w:sz w:val="24"/>
          <w:szCs w:val="24"/>
          <w:highlight w:val="none"/>
        </w:rPr>
      </w:pPr>
      <w:bookmarkStart w:id="67" w:name="_Toc85103627"/>
      <w:bookmarkStart w:id="68" w:name="_Toc85256252"/>
      <w:bookmarkStart w:id="69" w:name="_Toc85256282"/>
      <w:bookmarkStart w:id="70" w:name="_Toc85105516"/>
      <w:bookmarkStart w:id="71" w:name="_Toc522697772"/>
      <w:r>
        <w:rPr>
          <w:rFonts w:hint="eastAsia" w:ascii="宋体" w:hAnsi="宋体" w:eastAsia="宋体"/>
          <w:sz w:val="24"/>
          <w:szCs w:val="24"/>
          <w:highlight w:val="none"/>
        </w:rPr>
        <w:t>11.1 批准认证资格的条件</w:t>
      </w:r>
      <w:bookmarkEnd w:id="67"/>
      <w:bookmarkEnd w:id="68"/>
      <w:bookmarkEnd w:id="69"/>
      <w:bookmarkEnd w:id="70"/>
      <w:r>
        <w:rPr>
          <w:rFonts w:hint="eastAsia" w:ascii="宋体" w:hAnsi="宋体" w:eastAsia="宋体"/>
          <w:sz w:val="24"/>
          <w:szCs w:val="24"/>
          <w:highlight w:val="none"/>
        </w:rPr>
        <w:t>和程序</w:t>
      </w:r>
      <w:bookmarkEnd w:id="71"/>
    </w:p>
    <w:p>
      <w:pPr>
        <w:pStyle w:val="4"/>
        <w:ind w:left="478" w:hanging="478"/>
        <w:rPr>
          <w:rFonts w:hint="eastAsia" w:ascii="宋体" w:hAnsi="宋体" w:eastAsia="宋体"/>
          <w:b w:val="0"/>
          <w:highlight w:val="none"/>
        </w:rPr>
      </w:pPr>
      <w:r>
        <w:rPr>
          <w:rFonts w:hint="eastAsia" w:ascii="宋体" w:hAnsi="宋体" w:eastAsia="宋体"/>
          <w:b w:val="0"/>
          <w:highlight w:val="none"/>
        </w:rPr>
        <w:t>11.1.1 批准认证资格的条件</w:t>
      </w:r>
    </w:p>
    <w:p>
      <w:pPr>
        <w:numPr>
          <w:ilvl w:val="0"/>
          <w:numId w:val="10"/>
        </w:numPr>
        <w:spacing w:line="360" w:lineRule="auto"/>
        <w:jc w:val="left"/>
        <w:rPr>
          <w:rFonts w:hint="eastAsia" w:ascii="宋体" w:hAnsi="宋体"/>
          <w:sz w:val="24"/>
          <w:highlight w:val="none"/>
        </w:rPr>
      </w:pPr>
      <w:r>
        <w:rPr>
          <w:rFonts w:hint="eastAsia" w:ascii="宋体" w:hAnsi="宋体"/>
          <w:sz w:val="24"/>
          <w:highlight w:val="none"/>
        </w:rPr>
        <w:t>评审申请方的申请材料真实、准确、有效；</w:t>
      </w:r>
    </w:p>
    <w:p>
      <w:pPr>
        <w:numPr>
          <w:ilvl w:val="0"/>
          <w:numId w:val="10"/>
        </w:numPr>
        <w:spacing w:line="360" w:lineRule="auto"/>
        <w:jc w:val="left"/>
        <w:rPr>
          <w:rFonts w:hint="eastAsia" w:ascii="宋体" w:hAnsi="宋体"/>
          <w:bCs/>
          <w:sz w:val="24"/>
          <w:highlight w:val="none"/>
        </w:rPr>
      </w:pPr>
      <w:r>
        <w:rPr>
          <w:rFonts w:hint="eastAsia" w:ascii="宋体" w:hAnsi="宋体"/>
          <w:sz w:val="24"/>
          <w:highlight w:val="none"/>
        </w:rPr>
        <w:t>受审核方建立和实施的HSE管理体系符合2.2要求</w:t>
      </w:r>
    </w:p>
    <w:p>
      <w:pPr>
        <w:numPr>
          <w:ilvl w:val="0"/>
          <w:numId w:val="10"/>
        </w:numPr>
        <w:spacing w:line="360" w:lineRule="auto"/>
        <w:jc w:val="left"/>
        <w:rPr>
          <w:rFonts w:hint="eastAsia" w:ascii="宋体" w:hAnsi="宋体"/>
          <w:sz w:val="24"/>
          <w:highlight w:val="none"/>
        </w:rPr>
      </w:pPr>
      <w:r>
        <w:rPr>
          <w:rFonts w:hint="eastAsia" w:ascii="宋体" w:hAnsi="宋体"/>
          <w:sz w:val="24"/>
          <w:highlight w:val="none"/>
        </w:rPr>
        <w:t>审核组提出了推荐认证注册的认证结论；</w:t>
      </w:r>
    </w:p>
    <w:p>
      <w:pPr>
        <w:numPr>
          <w:ilvl w:val="0"/>
          <w:numId w:val="10"/>
        </w:numPr>
        <w:spacing w:line="360" w:lineRule="auto"/>
        <w:jc w:val="left"/>
        <w:rPr>
          <w:rFonts w:hint="eastAsia" w:ascii="宋体" w:hAnsi="宋体"/>
          <w:sz w:val="24"/>
          <w:highlight w:val="none"/>
        </w:rPr>
      </w:pPr>
      <w:r>
        <w:rPr>
          <w:rFonts w:hint="eastAsia" w:ascii="宋体" w:hAnsi="宋体"/>
          <w:sz w:val="24"/>
          <w:highlight w:val="none"/>
        </w:rPr>
        <w:t xml:space="preserve">受审核方申请的认证范围在法律地位文件和资质规定的范围内； </w:t>
      </w:r>
    </w:p>
    <w:p>
      <w:pPr>
        <w:numPr>
          <w:ilvl w:val="0"/>
          <w:numId w:val="10"/>
        </w:numPr>
        <w:tabs>
          <w:tab w:val="left" w:pos="900"/>
          <w:tab w:val="left" w:pos="1080"/>
          <w:tab w:val="left" w:pos="1260"/>
        </w:tabs>
        <w:spacing w:line="360" w:lineRule="auto"/>
        <w:jc w:val="left"/>
        <w:rPr>
          <w:rFonts w:hint="eastAsia" w:ascii="宋体" w:hAnsi="宋体"/>
          <w:sz w:val="24"/>
          <w:highlight w:val="none"/>
        </w:rPr>
      </w:pPr>
      <w:r>
        <w:rPr>
          <w:rFonts w:hint="eastAsia" w:ascii="宋体" w:hAnsi="宋体"/>
          <w:sz w:val="24"/>
          <w:highlight w:val="none"/>
        </w:rPr>
        <w:t>国家或地方或行业有要求时，受审核方申请认证范围内的组织单元、产品、服务及其过程和活动已满足适用的法律法规的要求；</w:t>
      </w:r>
    </w:p>
    <w:p>
      <w:pPr>
        <w:numPr>
          <w:ilvl w:val="0"/>
          <w:numId w:val="10"/>
        </w:numPr>
        <w:spacing w:line="360" w:lineRule="auto"/>
        <w:jc w:val="left"/>
        <w:rPr>
          <w:rFonts w:hint="eastAsia" w:ascii="宋体" w:hAnsi="宋体"/>
          <w:sz w:val="24"/>
          <w:highlight w:val="none"/>
        </w:rPr>
      </w:pPr>
      <w:r>
        <w:rPr>
          <w:rFonts w:hint="eastAsia" w:ascii="宋体" w:hAnsi="宋体"/>
          <w:sz w:val="24"/>
          <w:highlight w:val="none"/>
        </w:rPr>
        <w:t>审核证据表明受审核方管理评审和内部审核的安排已实施、有效且得到保持，并已进行了一次覆盖HSE管理体系所有要求的完整内部审核；</w:t>
      </w:r>
    </w:p>
    <w:p>
      <w:pPr>
        <w:pStyle w:val="5"/>
        <w:numPr>
          <w:ilvl w:val="0"/>
          <w:numId w:val="10"/>
        </w:numPr>
        <w:spacing w:line="360" w:lineRule="auto"/>
        <w:ind w:leftChars="0" w:firstLineChars="0"/>
        <w:jc w:val="left"/>
        <w:rPr>
          <w:rFonts w:hint="eastAsia" w:hAnsi="宋体"/>
          <w:sz w:val="24"/>
          <w:szCs w:val="24"/>
          <w:highlight w:val="none"/>
        </w:rPr>
      </w:pPr>
      <w:r>
        <w:rPr>
          <w:rFonts w:hint="eastAsia" w:hAnsi="宋体"/>
          <w:sz w:val="24"/>
          <w:szCs w:val="24"/>
          <w:highlight w:val="none"/>
        </w:rPr>
        <w:t>审核中发现的不合格</w:t>
      </w:r>
      <w:r>
        <w:rPr>
          <w:rFonts w:hAnsi="宋体"/>
          <w:sz w:val="24"/>
          <w:szCs w:val="24"/>
          <w:highlight w:val="none"/>
          <w:lang w:val="en-GB"/>
        </w:rPr>
        <w:t>在规定期限内</w:t>
      </w:r>
      <w:r>
        <w:rPr>
          <w:rFonts w:hint="eastAsia" w:hAnsi="宋体"/>
          <w:sz w:val="24"/>
          <w:szCs w:val="24"/>
          <w:highlight w:val="none"/>
        </w:rPr>
        <w:t>已经采取纠正/纠正措施或制定了纠正/纠正措施计划；</w:t>
      </w:r>
    </w:p>
    <w:p>
      <w:pPr>
        <w:pStyle w:val="5"/>
        <w:numPr>
          <w:ilvl w:val="0"/>
          <w:numId w:val="10"/>
        </w:numPr>
        <w:spacing w:line="360" w:lineRule="auto"/>
        <w:ind w:leftChars="0" w:firstLineChars="0"/>
        <w:jc w:val="left"/>
        <w:rPr>
          <w:rFonts w:hint="eastAsia" w:hAnsi="宋体"/>
          <w:sz w:val="24"/>
          <w:szCs w:val="24"/>
          <w:highlight w:val="none"/>
        </w:rPr>
      </w:pPr>
      <w:r>
        <w:rPr>
          <w:rFonts w:hint="eastAsia" w:hAnsi="宋体"/>
          <w:sz w:val="24"/>
          <w:szCs w:val="24"/>
          <w:highlight w:val="none"/>
        </w:rPr>
        <w:t>认证申请方已与方圆集团公司签署认证合同，承诺始终遵守认证的有关规定，并按照认证合同规定缴纳认证费用。</w:t>
      </w:r>
    </w:p>
    <w:p>
      <w:pPr>
        <w:pStyle w:val="5"/>
        <w:spacing w:line="360" w:lineRule="auto"/>
        <w:ind w:left="0" w:leftChars="0" w:firstLine="480" w:firstLineChars="200"/>
        <w:jc w:val="left"/>
        <w:rPr>
          <w:rFonts w:hint="eastAsia" w:hAnsi="宋体"/>
          <w:sz w:val="24"/>
          <w:szCs w:val="24"/>
          <w:highlight w:val="none"/>
        </w:rPr>
      </w:pPr>
      <w:r>
        <w:rPr>
          <w:rFonts w:hint="eastAsia" w:hAnsi="宋体"/>
          <w:sz w:val="24"/>
          <w:szCs w:val="24"/>
          <w:highlight w:val="none"/>
        </w:rPr>
        <w:t>对于以下不符合，方圆集团公司将评审、接受并证实了纠正和纠正措施的有效性后方可批准认证：</w:t>
      </w:r>
    </w:p>
    <w:p>
      <w:pPr>
        <w:pStyle w:val="5"/>
        <w:numPr>
          <w:ilvl w:val="0"/>
          <w:numId w:val="11"/>
        </w:numPr>
        <w:spacing w:line="360" w:lineRule="auto"/>
        <w:ind w:leftChars="0" w:firstLineChars="0"/>
        <w:jc w:val="left"/>
        <w:rPr>
          <w:rFonts w:hint="eastAsia" w:hAnsi="宋体"/>
          <w:sz w:val="24"/>
          <w:szCs w:val="24"/>
          <w:highlight w:val="none"/>
        </w:rPr>
      </w:pPr>
      <w:r>
        <w:rPr>
          <w:rFonts w:hint="eastAsia" w:hAnsi="宋体"/>
          <w:sz w:val="24"/>
          <w:szCs w:val="24"/>
          <w:highlight w:val="none"/>
        </w:rPr>
        <w:t>未能满足管理体系标准的一项或多项要求；</w:t>
      </w:r>
    </w:p>
    <w:p>
      <w:pPr>
        <w:pStyle w:val="5"/>
        <w:numPr>
          <w:ilvl w:val="0"/>
          <w:numId w:val="11"/>
        </w:numPr>
        <w:spacing w:line="360" w:lineRule="auto"/>
        <w:ind w:leftChars="0" w:firstLineChars="0"/>
        <w:jc w:val="left"/>
        <w:rPr>
          <w:rFonts w:hint="eastAsia" w:hAnsi="宋体"/>
          <w:sz w:val="24"/>
          <w:szCs w:val="24"/>
          <w:highlight w:val="none"/>
        </w:rPr>
      </w:pPr>
      <w:r>
        <w:rPr>
          <w:rFonts w:hint="eastAsia" w:hAnsi="宋体"/>
          <w:sz w:val="24"/>
          <w:szCs w:val="24"/>
          <w:highlight w:val="none"/>
        </w:rPr>
        <w:t>使相关方对受审核方管理体系实现预期结果的能力产生重大怀疑的情况。</w:t>
      </w:r>
    </w:p>
    <w:p>
      <w:pPr>
        <w:pStyle w:val="5"/>
        <w:spacing w:line="360" w:lineRule="auto"/>
        <w:ind w:left="0" w:leftChars="0" w:firstLine="480" w:firstLineChars="200"/>
        <w:jc w:val="left"/>
        <w:rPr>
          <w:rFonts w:hint="eastAsia" w:hAnsi="宋体"/>
          <w:sz w:val="24"/>
          <w:szCs w:val="24"/>
          <w:highlight w:val="none"/>
        </w:rPr>
      </w:pPr>
      <w:r>
        <w:rPr>
          <w:rFonts w:hint="eastAsia" w:hAnsi="宋体"/>
          <w:sz w:val="24"/>
          <w:szCs w:val="24"/>
          <w:highlight w:val="none"/>
        </w:rPr>
        <w:t xml:space="preserve">对于任何其他不符合，方圆集团公司将评审并接受了受审核方采取的纠正和纠正措施的计划方可批准认证。 </w:t>
      </w:r>
    </w:p>
    <w:p>
      <w:pPr>
        <w:spacing w:line="360" w:lineRule="auto"/>
        <w:rPr>
          <w:rFonts w:hint="eastAsia" w:ascii="宋体" w:hAnsi="宋体"/>
          <w:bCs/>
          <w:sz w:val="24"/>
          <w:highlight w:val="none"/>
        </w:rPr>
      </w:pPr>
      <w:bookmarkStart w:id="72" w:name="_Toc85256283"/>
      <w:bookmarkStart w:id="73" w:name="_Toc85105517"/>
      <w:bookmarkStart w:id="74" w:name="_Toc85256253"/>
      <w:bookmarkStart w:id="75" w:name="_Toc85103628"/>
      <w:r>
        <w:rPr>
          <w:rFonts w:hint="eastAsia" w:ascii="宋体" w:hAnsi="宋体"/>
          <w:bCs/>
          <w:sz w:val="24"/>
          <w:highlight w:val="none"/>
        </w:rPr>
        <w:t>11.1.2批准</w:t>
      </w:r>
      <w:bookmarkEnd w:id="72"/>
      <w:bookmarkEnd w:id="73"/>
      <w:bookmarkEnd w:id="74"/>
      <w:bookmarkEnd w:id="75"/>
      <w:r>
        <w:rPr>
          <w:rFonts w:hint="eastAsia" w:ascii="宋体" w:hAnsi="宋体"/>
          <w:bCs/>
          <w:sz w:val="24"/>
          <w:highlight w:val="none"/>
        </w:rPr>
        <w:t>认证的程序</w:t>
      </w:r>
    </w:p>
    <w:p>
      <w:pPr>
        <w:tabs>
          <w:tab w:val="left" w:pos="180"/>
          <w:tab w:val="left" w:pos="360"/>
          <w:tab w:val="left" w:pos="540"/>
          <w:tab w:val="left" w:pos="900"/>
        </w:tabs>
        <w:spacing w:line="360" w:lineRule="auto"/>
        <w:ind w:left="420"/>
        <w:rPr>
          <w:rFonts w:hint="eastAsia" w:ascii="宋体" w:hAnsi="宋体"/>
          <w:sz w:val="24"/>
          <w:highlight w:val="none"/>
        </w:rPr>
      </w:pPr>
      <w:r>
        <w:rPr>
          <w:rFonts w:hint="eastAsia" w:ascii="宋体" w:hAnsi="宋体"/>
          <w:sz w:val="24"/>
          <w:highlight w:val="none"/>
        </w:rPr>
        <w:t>批准认证的程序为：</w:t>
      </w:r>
    </w:p>
    <w:p>
      <w:pPr>
        <w:numPr>
          <w:ilvl w:val="0"/>
          <w:numId w:val="12"/>
        </w:numPr>
        <w:tabs>
          <w:tab w:val="left" w:pos="180"/>
          <w:tab w:val="left" w:pos="360"/>
          <w:tab w:val="left" w:pos="540"/>
          <w:tab w:val="left" w:pos="900"/>
        </w:tabs>
        <w:spacing w:line="360" w:lineRule="auto"/>
        <w:rPr>
          <w:rFonts w:hint="eastAsia" w:ascii="宋体" w:hAnsi="宋体"/>
          <w:sz w:val="24"/>
          <w:highlight w:val="none"/>
        </w:rPr>
      </w:pPr>
      <w:r>
        <w:rPr>
          <w:rFonts w:hint="eastAsia" w:ascii="宋体" w:hAnsi="宋体"/>
          <w:sz w:val="24"/>
          <w:highlight w:val="none"/>
        </w:rPr>
        <w:t>满足11.1.1批准认证资格的条件，经方圆集团公司审定，认为认证申请方在认证范围内已满足批准认证资格的条件，同意批准认证、签发认证证书；</w:t>
      </w:r>
    </w:p>
    <w:p>
      <w:pPr>
        <w:numPr>
          <w:ilvl w:val="0"/>
          <w:numId w:val="12"/>
        </w:numPr>
        <w:tabs>
          <w:tab w:val="left" w:pos="180"/>
          <w:tab w:val="left" w:pos="360"/>
          <w:tab w:val="left" w:pos="540"/>
          <w:tab w:val="left" w:pos="900"/>
        </w:tabs>
        <w:spacing w:line="360" w:lineRule="auto"/>
        <w:rPr>
          <w:rFonts w:hint="eastAsia" w:ascii="宋体" w:hAnsi="宋体"/>
          <w:sz w:val="24"/>
          <w:highlight w:val="none"/>
        </w:rPr>
      </w:pPr>
      <w:r>
        <w:rPr>
          <w:rFonts w:hint="eastAsia" w:ascii="宋体" w:hAnsi="宋体"/>
          <w:sz w:val="24"/>
          <w:highlight w:val="none"/>
        </w:rPr>
        <w:t>方圆集团公司向认证申请方颁发认证证书。</w:t>
      </w:r>
    </w:p>
    <w:p>
      <w:pPr>
        <w:pStyle w:val="3"/>
        <w:rPr>
          <w:rFonts w:hint="eastAsia" w:ascii="宋体" w:hAnsi="宋体" w:eastAsia="宋体"/>
          <w:sz w:val="24"/>
          <w:szCs w:val="24"/>
          <w:highlight w:val="none"/>
        </w:rPr>
      </w:pPr>
      <w:bookmarkStart w:id="76" w:name="_Toc522697773"/>
      <w:bookmarkStart w:id="77" w:name="_Toc85105518"/>
      <w:bookmarkStart w:id="78" w:name="_Toc85103629"/>
      <w:bookmarkStart w:id="79" w:name="_Toc85256254"/>
      <w:bookmarkStart w:id="80" w:name="_Toc85256284"/>
      <w:r>
        <w:rPr>
          <w:rFonts w:hint="eastAsia" w:ascii="宋体" w:hAnsi="宋体" w:eastAsia="宋体"/>
          <w:sz w:val="24"/>
          <w:szCs w:val="24"/>
          <w:highlight w:val="none"/>
        </w:rPr>
        <w:t>11.2 保持认证资格的条件和程序</w:t>
      </w:r>
      <w:bookmarkEnd w:id="76"/>
    </w:p>
    <w:p>
      <w:pPr>
        <w:pStyle w:val="4"/>
        <w:ind w:left="478" w:hanging="478"/>
        <w:rPr>
          <w:rFonts w:hint="eastAsia" w:ascii="宋体" w:hAnsi="宋体" w:eastAsia="宋体"/>
          <w:b w:val="0"/>
          <w:highlight w:val="none"/>
        </w:rPr>
      </w:pPr>
      <w:r>
        <w:rPr>
          <w:rFonts w:hint="eastAsia" w:ascii="宋体" w:hAnsi="宋体" w:eastAsia="宋体"/>
          <w:b w:val="0"/>
          <w:highlight w:val="none"/>
        </w:rPr>
        <w:t>11.2.1 保持认证资格的条件</w:t>
      </w:r>
      <w:bookmarkEnd w:id="77"/>
      <w:bookmarkEnd w:id="78"/>
      <w:bookmarkEnd w:id="79"/>
      <w:bookmarkEnd w:id="80"/>
    </w:p>
    <w:p>
      <w:pPr>
        <w:numPr>
          <w:ilvl w:val="0"/>
          <w:numId w:val="13"/>
        </w:numPr>
        <w:spacing w:line="360" w:lineRule="auto"/>
        <w:jc w:val="left"/>
        <w:rPr>
          <w:rFonts w:hint="eastAsia" w:ascii="宋体" w:hAnsi="宋体"/>
          <w:sz w:val="24"/>
          <w:highlight w:val="none"/>
        </w:rPr>
      </w:pPr>
      <w:r>
        <w:rPr>
          <w:rFonts w:hint="eastAsia" w:ascii="宋体" w:hAnsi="宋体"/>
          <w:sz w:val="24"/>
          <w:highlight w:val="none"/>
        </w:rPr>
        <w:t>获证组织的法律地位、资质持续符合国家的最新要求，并且认证范围在法律地位文件和资质规定的范围内；</w:t>
      </w:r>
    </w:p>
    <w:p>
      <w:pPr>
        <w:numPr>
          <w:ilvl w:val="0"/>
          <w:numId w:val="13"/>
        </w:numPr>
        <w:spacing w:line="360" w:lineRule="auto"/>
        <w:jc w:val="left"/>
        <w:rPr>
          <w:rFonts w:hint="eastAsia" w:ascii="宋体" w:hAnsi="宋体"/>
          <w:sz w:val="24"/>
          <w:highlight w:val="none"/>
        </w:rPr>
      </w:pPr>
      <w:r>
        <w:rPr>
          <w:rFonts w:hint="eastAsia" w:ascii="宋体" w:hAnsi="宋体"/>
          <w:sz w:val="24"/>
          <w:highlight w:val="none"/>
        </w:rPr>
        <w:t>获证组织的HSE管理体系持续符合2.2要求；</w:t>
      </w:r>
    </w:p>
    <w:p>
      <w:pPr>
        <w:numPr>
          <w:ilvl w:val="0"/>
          <w:numId w:val="13"/>
        </w:numPr>
        <w:spacing w:line="360" w:lineRule="auto"/>
        <w:jc w:val="left"/>
        <w:rPr>
          <w:rFonts w:hint="eastAsia" w:ascii="宋体" w:hAnsi="宋体"/>
          <w:sz w:val="24"/>
          <w:highlight w:val="none"/>
        </w:rPr>
      </w:pPr>
      <w:r>
        <w:rPr>
          <w:rFonts w:hint="eastAsia" w:ascii="宋体" w:hAnsi="宋体"/>
          <w:sz w:val="24"/>
          <w:highlight w:val="none"/>
        </w:rPr>
        <w:t>获证组织持续遵守认证有关的规定，包括变更的规定；</w:t>
      </w:r>
    </w:p>
    <w:p>
      <w:pPr>
        <w:numPr>
          <w:ilvl w:val="0"/>
          <w:numId w:val="13"/>
        </w:numPr>
        <w:spacing w:line="360" w:lineRule="auto"/>
        <w:jc w:val="left"/>
        <w:rPr>
          <w:rFonts w:hint="eastAsia" w:ascii="宋体" w:hAnsi="宋体"/>
          <w:sz w:val="24"/>
          <w:highlight w:val="none"/>
        </w:rPr>
      </w:pPr>
      <w:r>
        <w:rPr>
          <w:rFonts w:hint="eastAsia" w:ascii="宋体" w:hAnsi="宋体"/>
          <w:sz w:val="24"/>
          <w:highlight w:val="none"/>
        </w:rPr>
        <w:t>获证组织HSE管理体系覆盖区域的活动符合国家和地方有关的法律法规要求；</w:t>
      </w:r>
    </w:p>
    <w:p>
      <w:pPr>
        <w:numPr>
          <w:ilvl w:val="0"/>
          <w:numId w:val="13"/>
        </w:numPr>
        <w:spacing w:line="360" w:lineRule="auto"/>
        <w:jc w:val="left"/>
        <w:rPr>
          <w:rFonts w:hint="eastAsia" w:ascii="宋体" w:hAnsi="宋体"/>
          <w:sz w:val="24"/>
          <w:highlight w:val="none"/>
        </w:rPr>
      </w:pPr>
      <w:r>
        <w:rPr>
          <w:rFonts w:hint="eastAsia" w:ascii="宋体" w:hAnsi="宋体"/>
          <w:sz w:val="24"/>
          <w:highlight w:val="none"/>
        </w:rPr>
        <w:t>获证组织在认证范围内的组织单元、产品、服务及其过程和活动持续满足适用的最新法律法规的要求，如发生不满足时及时采取有效的措施；</w:t>
      </w:r>
    </w:p>
    <w:p>
      <w:pPr>
        <w:numPr>
          <w:ilvl w:val="0"/>
          <w:numId w:val="13"/>
        </w:numPr>
        <w:spacing w:line="360" w:lineRule="auto"/>
        <w:jc w:val="left"/>
        <w:rPr>
          <w:rFonts w:hint="eastAsia" w:ascii="宋体" w:hAnsi="宋体"/>
          <w:sz w:val="24"/>
          <w:highlight w:val="none"/>
        </w:rPr>
      </w:pPr>
      <w:r>
        <w:rPr>
          <w:rFonts w:hint="eastAsia" w:ascii="宋体" w:hAnsi="宋体"/>
          <w:sz w:val="24"/>
          <w:highlight w:val="none"/>
        </w:rPr>
        <w:t>获证组织于获证期间在认证范围内未发生重大事故；</w:t>
      </w:r>
    </w:p>
    <w:p>
      <w:pPr>
        <w:numPr>
          <w:ilvl w:val="0"/>
          <w:numId w:val="13"/>
        </w:numPr>
        <w:spacing w:line="360" w:lineRule="auto"/>
        <w:jc w:val="left"/>
        <w:rPr>
          <w:rFonts w:hint="eastAsia" w:ascii="宋体" w:hAnsi="宋体"/>
          <w:sz w:val="24"/>
          <w:highlight w:val="none"/>
        </w:rPr>
      </w:pPr>
      <w:r>
        <w:rPr>
          <w:rFonts w:hint="eastAsia" w:ascii="宋体" w:hAnsi="宋体"/>
          <w:sz w:val="24"/>
          <w:highlight w:val="none"/>
        </w:rPr>
        <w:t>获证组织在获证期间未发生误用认证证书，如有发生能及时有效地采取纠正和纠正措施，并将误用产生的影响降至最少程度；</w:t>
      </w:r>
    </w:p>
    <w:p>
      <w:pPr>
        <w:numPr>
          <w:ilvl w:val="0"/>
          <w:numId w:val="13"/>
        </w:numPr>
        <w:spacing w:line="360" w:lineRule="auto"/>
        <w:jc w:val="left"/>
        <w:rPr>
          <w:rFonts w:hint="eastAsia" w:ascii="宋体" w:hAnsi="宋体"/>
          <w:sz w:val="24"/>
          <w:highlight w:val="none"/>
        </w:rPr>
      </w:pPr>
      <w:r>
        <w:rPr>
          <w:rFonts w:hint="eastAsia" w:ascii="宋体" w:hAnsi="宋体"/>
          <w:sz w:val="24"/>
          <w:highlight w:val="none"/>
        </w:rPr>
        <w:t>获证组织对顾客或相关方的重大投诉和关切能及时有效地处理；</w:t>
      </w:r>
    </w:p>
    <w:p>
      <w:pPr>
        <w:numPr>
          <w:ilvl w:val="0"/>
          <w:numId w:val="13"/>
        </w:numPr>
        <w:spacing w:line="360" w:lineRule="auto"/>
        <w:jc w:val="left"/>
        <w:rPr>
          <w:rFonts w:hint="eastAsia" w:ascii="宋体" w:hAnsi="宋体"/>
          <w:sz w:val="24"/>
          <w:highlight w:val="none"/>
        </w:rPr>
      </w:pPr>
      <w:r>
        <w:rPr>
          <w:rFonts w:hint="eastAsia" w:ascii="宋体" w:hAnsi="宋体"/>
          <w:sz w:val="24"/>
          <w:highlight w:val="none"/>
        </w:rPr>
        <w:t>管理评审、内审的时间间隔不超过12个月；</w:t>
      </w:r>
    </w:p>
    <w:p>
      <w:pPr>
        <w:numPr>
          <w:ilvl w:val="0"/>
          <w:numId w:val="13"/>
        </w:numPr>
        <w:spacing w:line="360" w:lineRule="auto"/>
        <w:jc w:val="left"/>
        <w:rPr>
          <w:rFonts w:hint="eastAsia" w:ascii="宋体" w:hAnsi="宋体"/>
          <w:sz w:val="24"/>
          <w:highlight w:val="none"/>
        </w:rPr>
      </w:pPr>
      <w:r>
        <w:rPr>
          <w:rFonts w:hint="eastAsia" w:ascii="宋体" w:hAnsi="宋体"/>
          <w:sz w:val="24"/>
          <w:highlight w:val="none"/>
        </w:rPr>
        <w:t>按时接受监督审核；</w:t>
      </w:r>
    </w:p>
    <w:p>
      <w:pPr>
        <w:numPr>
          <w:ilvl w:val="0"/>
          <w:numId w:val="13"/>
        </w:numPr>
        <w:spacing w:line="360" w:lineRule="auto"/>
        <w:jc w:val="left"/>
        <w:rPr>
          <w:rFonts w:hint="eastAsia" w:ascii="宋体" w:hAnsi="宋体"/>
          <w:sz w:val="24"/>
          <w:highlight w:val="none"/>
        </w:rPr>
      </w:pPr>
      <w:r>
        <w:rPr>
          <w:rFonts w:hint="eastAsia" w:ascii="宋体" w:hAnsi="宋体"/>
          <w:sz w:val="24"/>
          <w:highlight w:val="none"/>
        </w:rPr>
        <w:t>获证组织能按照方圆集团公司要求向方圆集团公司通报HSE管理体系和重要过程变更等信息；</w:t>
      </w:r>
    </w:p>
    <w:p>
      <w:pPr>
        <w:numPr>
          <w:ilvl w:val="0"/>
          <w:numId w:val="13"/>
        </w:numPr>
        <w:spacing w:line="360" w:lineRule="auto"/>
        <w:jc w:val="left"/>
        <w:rPr>
          <w:rFonts w:hint="eastAsia" w:ascii="宋体" w:hAnsi="宋体"/>
          <w:sz w:val="24"/>
          <w:highlight w:val="none"/>
        </w:rPr>
      </w:pPr>
      <w:r>
        <w:rPr>
          <w:rFonts w:hint="eastAsia" w:ascii="宋体" w:hAnsi="宋体"/>
          <w:sz w:val="24"/>
          <w:highlight w:val="none"/>
        </w:rPr>
        <w:t>获证组织履行与方圆集团公司签署认证合同中规定的责任和义务，并按照认证合同规定缴纳认证费用。</w:t>
      </w:r>
    </w:p>
    <w:p>
      <w:pPr>
        <w:pStyle w:val="4"/>
        <w:ind w:left="478" w:hanging="478"/>
        <w:rPr>
          <w:rFonts w:hint="eastAsia" w:ascii="宋体" w:hAnsi="宋体" w:eastAsia="宋体"/>
          <w:b w:val="0"/>
          <w:i/>
          <w:iCs/>
          <w:highlight w:val="none"/>
        </w:rPr>
      </w:pPr>
      <w:r>
        <w:rPr>
          <w:rFonts w:hint="eastAsia" w:ascii="宋体" w:hAnsi="宋体" w:eastAsia="宋体"/>
          <w:b w:val="0"/>
          <w:highlight w:val="none"/>
        </w:rPr>
        <w:t>11.2.2 保持认证资格的程序</w:t>
      </w:r>
    </w:p>
    <w:p>
      <w:pPr>
        <w:numPr>
          <w:ilvl w:val="0"/>
          <w:numId w:val="14"/>
        </w:numPr>
        <w:spacing w:line="360" w:lineRule="auto"/>
        <w:jc w:val="left"/>
        <w:rPr>
          <w:rFonts w:hint="eastAsia" w:ascii="宋体" w:hAnsi="宋体"/>
          <w:sz w:val="24"/>
          <w:highlight w:val="none"/>
        </w:rPr>
      </w:pPr>
      <w:r>
        <w:rPr>
          <w:rFonts w:hint="eastAsia" w:ascii="宋体" w:hAnsi="宋体"/>
          <w:sz w:val="24"/>
          <w:highlight w:val="none"/>
        </w:rPr>
        <w:t xml:space="preserve"> 满足11.2.1保持认证资格的条件，监督审核后经方圆集团公司审核组长确认后，认为获证组织在认证范围内能持续满足保持认证资格的条件，同意保持认证资格，颁发确认证书；  </w:t>
      </w:r>
    </w:p>
    <w:p>
      <w:pPr>
        <w:numPr>
          <w:ilvl w:val="0"/>
          <w:numId w:val="14"/>
        </w:numPr>
        <w:spacing w:line="360" w:lineRule="auto"/>
        <w:jc w:val="left"/>
        <w:rPr>
          <w:rFonts w:hint="eastAsia" w:ascii="宋体" w:hAnsi="宋体"/>
          <w:sz w:val="24"/>
          <w:highlight w:val="none"/>
        </w:rPr>
      </w:pPr>
      <w:r>
        <w:rPr>
          <w:rFonts w:hint="eastAsia" w:ascii="宋体" w:hAnsi="宋体"/>
          <w:sz w:val="24"/>
          <w:highlight w:val="none"/>
        </w:rPr>
        <w:t>在认证证书有效期内如有认证要求变更，获证组织接受认证要求变更，并经方圆集团公司验证在认证范围内管理体系满足变更的要求</w:t>
      </w:r>
      <w:r>
        <w:rPr>
          <w:rFonts w:ascii="宋体" w:hAnsi="宋体"/>
          <w:sz w:val="24"/>
          <w:highlight w:val="none"/>
        </w:rPr>
        <w:t>。</w:t>
      </w:r>
    </w:p>
    <w:p>
      <w:pPr>
        <w:pStyle w:val="3"/>
        <w:rPr>
          <w:rFonts w:hint="eastAsia" w:ascii="宋体" w:hAnsi="宋体" w:eastAsia="宋体"/>
          <w:sz w:val="24"/>
          <w:szCs w:val="24"/>
          <w:highlight w:val="none"/>
        </w:rPr>
      </w:pPr>
      <w:bookmarkStart w:id="81" w:name="_Toc522697774"/>
      <w:r>
        <w:rPr>
          <w:rFonts w:hint="eastAsia" w:ascii="宋体" w:hAnsi="宋体" w:eastAsia="宋体"/>
          <w:sz w:val="24"/>
          <w:szCs w:val="24"/>
          <w:highlight w:val="none"/>
        </w:rPr>
        <w:t>11.3 扩大认证范围的条件和程序</w:t>
      </w:r>
      <w:bookmarkEnd w:id="81"/>
    </w:p>
    <w:p>
      <w:pPr>
        <w:pStyle w:val="4"/>
        <w:ind w:left="478" w:hanging="478"/>
        <w:rPr>
          <w:rFonts w:hint="eastAsia" w:ascii="宋体" w:hAnsi="宋体" w:eastAsia="宋体"/>
          <w:b w:val="0"/>
          <w:highlight w:val="none"/>
        </w:rPr>
      </w:pPr>
      <w:bookmarkStart w:id="82" w:name="_Toc85256255"/>
      <w:bookmarkStart w:id="83" w:name="_Toc85105519"/>
      <w:bookmarkStart w:id="84" w:name="_Toc85256285"/>
      <w:bookmarkStart w:id="85" w:name="_Toc85103630"/>
      <w:r>
        <w:rPr>
          <w:rFonts w:hint="eastAsia" w:ascii="宋体" w:hAnsi="宋体" w:eastAsia="宋体"/>
          <w:b w:val="0"/>
          <w:highlight w:val="none"/>
        </w:rPr>
        <w:t>11</w:t>
      </w:r>
      <w:r>
        <w:rPr>
          <w:rFonts w:ascii="宋体" w:hAnsi="宋体" w:eastAsia="宋体"/>
          <w:b w:val="0"/>
          <w:highlight w:val="none"/>
        </w:rPr>
        <w:t>.</w:t>
      </w:r>
      <w:r>
        <w:rPr>
          <w:rFonts w:hint="eastAsia" w:ascii="宋体" w:hAnsi="宋体" w:eastAsia="宋体"/>
          <w:b w:val="0"/>
          <w:highlight w:val="none"/>
        </w:rPr>
        <w:t>3.1 扩大认证范围的条件</w:t>
      </w:r>
      <w:bookmarkEnd w:id="82"/>
      <w:bookmarkEnd w:id="83"/>
      <w:bookmarkEnd w:id="84"/>
      <w:bookmarkEnd w:id="85"/>
    </w:p>
    <w:p>
      <w:pPr>
        <w:numPr>
          <w:ilvl w:val="0"/>
          <w:numId w:val="15"/>
        </w:numPr>
        <w:spacing w:line="360" w:lineRule="auto"/>
        <w:jc w:val="left"/>
        <w:rPr>
          <w:rFonts w:hint="eastAsia" w:ascii="宋体" w:hAnsi="宋体"/>
          <w:sz w:val="24"/>
          <w:highlight w:val="none"/>
        </w:rPr>
      </w:pPr>
      <w:r>
        <w:rPr>
          <w:rFonts w:hint="eastAsia" w:ascii="宋体" w:hAnsi="宋体"/>
          <w:sz w:val="24"/>
          <w:highlight w:val="none"/>
        </w:rPr>
        <w:t>获证组织保持认证资格有效。</w:t>
      </w:r>
    </w:p>
    <w:p>
      <w:pPr>
        <w:numPr>
          <w:ilvl w:val="0"/>
          <w:numId w:val="15"/>
        </w:numPr>
        <w:spacing w:line="360" w:lineRule="auto"/>
        <w:jc w:val="left"/>
        <w:rPr>
          <w:rFonts w:hint="eastAsia" w:ascii="宋体" w:hAnsi="宋体"/>
          <w:sz w:val="24"/>
          <w:highlight w:val="none"/>
        </w:rPr>
      </w:pPr>
      <w:r>
        <w:rPr>
          <w:rFonts w:hint="eastAsia" w:ascii="宋体" w:hAnsi="宋体"/>
          <w:sz w:val="24"/>
          <w:highlight w:val="none"/>
        </w:rPr>
        <w:t>国家或地方或行业有要求时，获证组织在扩大认证范围内具有规定的资质；</w:t>
      </w:r>
    </w:p>
    <w:p>
      <w:pPr>
        <w:numPr>
          <w:ilvl w:val="0"/>
          <w:numId w:val="15"/>
        </w:numPr>
        <w:spacing w:line="360" w:lineRule="auto"/>
        <w:jc w:val="left"/>
        <w:rPr>
          <w:rFonts w:hint="eastAsia" w:ascii="宋体" w:hAnsi="宋体"/>
          <w:sz w:val="24"/>
          <w:highlight w:val="none"/>
        </w:rPr>
      </w:pPr>
      <w:r>
        <w:rPr>
          <w:rFonts w:hint="eastAsia" w:ascii="宋体" w:hAnsi="宋体"/>
          <w:sz w:val="24"/>
          <w:highlight w:val="none"/>
        </w:rPr>
        <w:t>获证组织申请扩大认证范围在法律地位文件和资质规定的范围内；</w:t>
      </w:r>
    </w:p>
    <w:p>
      <w:pPr>
        <w:numPr>
          <w:ilvl w:val="0"/>
          <w:numId w:val="15"/>
        </w:numPr>
        <w:spacing w:line="360" w:lineRule="auto"/>
        <w:jc w:val="left"/>
        <w:rPr>
          <w:rFonts w:hint="eastAsia" w:ascii="宋体" w:hAnsi="宋体"/>
          <w:sz w:val="24"/>
          <w:highlight w:val="none"/>
        </w:rPr>
      </w:pPr>
      <w:r>
        <w:rPr>
          <w:rFonts w:hint="eastAsia" w:ascii="宋体" w:hAnsi="宋体"/>
          <w:sz w:val="24"/>
          <w:highlight w:val="none"/>
        </w:rPr>
        <w:t>获证组织的HSE管理体系覆盖申请扩大的认证范围，并符合2.2要求；</w:t>
      </w:r>
    </w:p>
    <w:p>
      <w:pPr>
        <w:numPr>
          <w:ilvl w:val="0"/>
          <w:numId w:val="15"/>
        </w:numPr>
        <w:spacing w:line="360" w:lineRule="auto"/>
        <w:jc w:val="left"/>
        <w:rPr>
          <w:rFonts w:hint="eastAsia" w:ascii="宋体" w:hAnsi="宋体"/>
          <w:sz w:val="24"/>
          <w:highlight w:val="none"/>
        </w:rPr>
      </w:pPr>
      <w:r>
        <w:rPr>
          <w:rFonts w:hint="eastAsia" w:ascii="宋体" w:hAnsi="宋体"/>
          <w:sz w:val="24"/>
          <w:highlight w:val="none"/>
        </w:rPr>
        <w:t>国家或地方或行业有要求时，获证组织在申请扩大认证范围内的组织单元、产品、服务及其过程和活动已满足适用的法律法规的要求；</w:t>
      </w:r>
    </w:p>
    <w:p>
      <w:pPr>
        <w:numPr>
          <w:ilvl w:val="0"/>
          <w:numId w:val="15"/>
        </w:numPr>
        <w:spacing w:line="360" w:lineRule="auto"/>
        <w:jc w:val="left"/>
        <w:rPr>
          <w:rFonts w:hint="eastAsia" w:ascii="宋体" w:hAnsi="宋体"/>
          <w:sz w:val="24"/>
          <w:highlight w:val="none"/>
        </w:rPr>
      </w:pPr>
      <w:r>
        <w:rPr>
          <w:rFonts w:hint="eastAsia" w:ascii="宋体" w:hAnsi="宋体"/>
          <w:sz w:val="24"/>
          <w:highlight w:val="none"/>
        </w:rPr>
        <w:t>获证组织按照规定缴纳补充认证费用。</w:t>
      </w:r>
    </w:p>
    <w:p>
      <w:pPr>
        <w:pStyle w:val="4"/>
        <w:ind w:left="478" w:hanging="478"/>
        <w:rPr>
          <w:rFonts w:hint="eastAsia" w:ascii="宋体" w:hAnsi="宋体" w:eastAsia="宋体"/>
          <w:b w:val="0"/>
          <w:highlight w:val="none"/>
        </w:rPr>
      </w:pPr>
      <w:r>
        <w:rPr>
          <w:rFonts w:hint="eastAsia" w:ascii="宋体" w:hAnsi="宋体" w:eastAsia="宋体"/>
          <w:b w:val="0"/>
          <w:highlight w:val="none"/>
        </w:rPr>
        <w:t>11.3.2扩大认证范围的程序</w:t>
      </w:r>
    </w:p>
    <w:p>
      <w:pPr>
        <w:numPr>
          <w:ilvl w:val="0"/>
          <w:numId w:val="16"/>
        </w:numPr>
        <w:spacing w:line="360" w:lineRule="auto"/>
        <w:jc w:val="left"/>
        <w:rPr>
          <w:rFonts w:hint="eastAsia" w:ascii="宋体" w:hAnsi="宋体"/>
          <w:sz w:val="24"/>
          <w:highlight w:val="none"/>
        </w:rPr>
      </w:pPr>
      <w:r>
        <w:rPr>
          <w:rFonts w:hint="eastAsia" w:ascii="宋体" w:hAnsi="宋体"/>
          <w:sz w:val="24"/>
          <w:highlight w:val="none"/>
        </w:rPr>
        <w:t>获证组织向方圆集团公司正式提交扩大认证范围的申请和相关附件；</w:t>
      </w:r>
    </w:p>
    <w:p>
      <w:pPr>
        <w:numPr>
          <w:ilvl w:val="0"/>
          <w:numId w:val="16"/>
        </w:numPr>
        <w:spacing w:line="360" w:lineRule="auto"/>
        <w:jc w:val="left"/>
        <w:rPr>
          <w:rFonts w:hint="eastAsia" w:ascii="宋体" w:hAnsi="宋体"/>
          <w:sz w:val="24"/>
          <w:highlight w:val="none"/>
        </w:rPr>
      </w:pPr>
      <w:r>
        <w:rPr>
          <w:rFonts w:hint="eastAsia" w:ascii="宋体" w:hAnsi="宋体"/>
          <w:sz w:val="24"/>
          <w:highlight w:val="none"/>
        </w:rPr>
        <w:t>满足11.3.1扩大认证范围的条件，经方圆集团公司审核、审定，认为获证组织在申请扩大认证范围内已满足批准认证资格的条件，同意批准扩大认证范围，签署换发认证证书或附件，收回原认证证书，但认证证书的注册号和有效期保持不变。</w:t>
      </w:r>
    </w:p>
    <w:p>
      <w:pPr>
        <w:pStyle w:val="3"/>
        <w:rPr>
          <w:rFonts w:hint="eastAsia" w:ascii="宋体" w:hAnsi="宋体" w:eastAsia="宋体"/>
          <w:sz w:val="24"/>
          <w:szCs w:val="24"/>
          <w:highlight w:val="none"/>
        </w:rPr>
      </w:pPr>
      <w:bookmarkStart w:id="86" w:name="_Toc522697775"/>
      <w:r>
        <w:rPr>
          <w:rFonts w:hint="eastAsia" w:ascii="宋体" w:hAnsi="宋体" w:eastAsia="宋体"/>
          <w:sz w:val="24"/>
          <w:szCs w:val="24"/>
          <w:highlight w:val="none"/>
        </w:rPr>
        <w:t>11.4 缩小认证范围的条件和程序</w:t>
      </w:r>
      <w:bookmarkEnd w:id="86"/>
    </w:p>
    <w:p>
      <w:pPr>
        <w:pStyle w:val="4"/>
        <w:ind w:left="478" w:hanging="478"/>
        <w:rPr>
          <w:rFonts w:hint="eastAsia" w:ascii="宋体" w:hAnsi="宋体" w:eastAsia="宋体"/>
          <w:b w:val="0"/>
          <w:highlight w:val="none"/>
        </w:rPr>
      </w:pPr>
      <w:r>
        <w:rPr>
          <w:rFonts w:hint="eastAsia" w:ascii="宋体" w:hAnsi="宋体" w:eastAsia="宋体"/>
          <w:b w:val="0"/>
          <w:highlight w:val="none"/>
        </w:rPr>
        <w:t>11</w:t>
      </w:r>
      <w:r>
        <w:rPr>
          <w:rFonts w:ascii="宋体" w:hAnsi="宋体" w:eastAsia="宋体"/>
          <w:b w:val="0"/>
          <w:highlight w:val="none"/>
        </w:rPr>
        <w:t>.</w:t>
      </w:r>
      <w:r>
        <w:rPr>
          <w:rFonts w:hint="eastAsia" w:ascii="宋体" w:hAnsi="宋体" w:eastAsia="宋体"/>
          <w:b w:val="0"/>
          <w:highlight w:val="none"/>
        </w:rPr>
        <w:t>4.1 缩小认证范围的条件</w:t>
      </w:r>
    </w:p>
    <w:p>
      <w:pPr>
        <w:numPr>
          <w:ilvl w:val="0"/>
          <w:numId w:val="17"/>
        </w:numPr>
        <w:spacing w:line="360" w:lineRule="auto"/>
        <w:rPr>
          <w:rFonts w:hint="eastAsia" w:ascii="宋体" w:hAnsi="宋体"/>
          <w:bCs/>
          <w:sz w:val="24"/>
          <w:highlight w:val="none"/>
        </w:rPr>
      </w:pPr>
      <w:r>
        <w:rPr>
          <w:rFonts w:hint="eastAsia" w:ascii="宋体" w:hAnsi="宋体"/>
          <w:bCs/>
          <w:sz w:val="24"/>
          <w:highlight w:val="none"/>
        </w:rPr>
        <w:t>获证组织的认证范围内部分产品/服务范围、区域等不再继续符合认证标准/规范性文件和其他附加要求；</w:t>
      </w:r>
    </w:p>
    <w:p>
      <w:pPr>
        <w:numPr>
          <w:ilvl w:val="0"/>
          <w:numId w:val="17"/>
        </w:numPr>
        <w:spacing w:line="360" w:lineRule="auto"/>
        <w:rPr>
          <w:rFonts w:hint="eastAsia" w:ascii="宋体" w:hAnsi="宋体"/>
          <w:bCs/>
          <w:sz w:val="24"/>
          <w:highlight w:val="none"/>
        </w:rPr>
      </w:pPr>
      <w:r>
        <w:rPr>
          <w:rFonts w:hint="eastAsia" w:ascii="宋体" w:hAnsi="宋体"/>
          <w:bCs/>
          <w:sz w:val="24"/>
          <w:highlight w:val="none"/>
        </w:rPr>
        <w:t>获证组织不愿再继续保持认证范围内的部分产品服务范围、区域等认证资格。</w:t>
      </w:r>
    </w:p>
    <w:p>
      <w:pPr>
        <w:pStyle w:val="4"/>
        <w:ind w:left="478" w:hanging="478"/>
        <w:rPr>
          <w:rFonts w:hint="eastAsia" w:ascii="宋体" w:hAnsi="宋体" w:eastAsia="宋体"/>
          <w:b w:val="0"/>
          <w:highlight w:val="none"/>
        </w:rPr>
      </w:pPr>
      <w:r>
        <w:rPr>
          <w:rFonts w:hint="eastAsia" w:ascii="宋体" w:hAnsi="宋体" w:eastAsia="宋体"/>
          <w:b w:val="0"/>
          <w:highlight w:val="none"/>
        </w:rPr>
        <w:t>11.4.2 缩小认证范围的程序</w:t>
      </w:r>
    </w:p>
    <w:p>
      <w:pPr>
        <w:numPr>
          <w:ilvl w:val="0"/>
          <w:numId w:val="18"/>
        </w:numPr>
        <w:spacing w:line="360" w:lineRule="auto"/>
        <w:rPr>
          <w:rFonts w:hint="eastAsia" w:ascii="宋体" w:hAnsi="宋体"/>
          <w:bCs/>
          <w:sz w:val="24"/>
          <w:highlight w:val="none"/>
        </w:rPr>
      </w:pPr>
      <w:r>
        <w:rPr>
          <w:rFonts w:hint="eastAsia" w:ascii="宋体" w:hAnsi="宋体"/>
          <w:bCs/>
          <w:sz w:val="24"/>
          <w:highlight w:val="none"/>
        </w:rPr>
        <w:t>获证组织向方圆集团公司正式提交缩小认证范围的申请；或方圆集团公司审核管理部门提出缩小获证组织认证范围的建议，并提供理由和证据；或方圆集团公司的审定意见也可作为认证范围缩小的信息来源和理由，此时应取得获证组织的同意；</w:t>
      </w:r>
    </w:p>
    <w:p>
      <w:pPr>
        <w:numPr>
          <w:ilvl w:val="0"/>
          <w:numId w:val="18"/>
        </w:numPr>
        <w:spacing w:line="360" w:lineRule="auto"/>
        <w:rPr>
          <w:rFonts w:hint="eastAsia" w:ascii="宋体" w:hAnsi="宋体"/>
          <w:bCs/>
          <w:sz w:val="24"/>
          <w:highlight w:val="none"/>
        </w:rPr>
      </w:pPr>
      <w:r>
        <w:rPr>
          <w:rFonts w:hint="eastAsia" w:ascii="宋体" w:hAnsi="宋体"/>
          <w:bCs/>
          <w:sz w:val="24"/>
          <w:highlight w:val="none"/>
        </w:rPr>
        <w:t>经方圆集团公司审定，认为获证组织在申请缩小认证范围不会对仍保持的认证范围产生影响，同意批准缩小认证范围，收回原认证证书，总经理签署换发认证证书或附件，但认证证书的注册号和有效期保持不变；</w:t>
      </w:r>
    </w:p>
    <w:p>
      <w:pPr>
        <w:numPr>
          <w:ilvl w:val="0"/>
          <w:numId w:val="18"/>
        </w:numPr>
        <w:spacing w:line="360" w:lineRule="auto"/>
        <w:rPr>
          <w:rFonts w:hint="eastAsia" w:ascii="宋体" w:hAnsi="宋体"/>
          <w:bCs/>
          <w:sz w:val="24"/>
          <w:highlight w:val="none"/>
        </w:rPr>
      </w:pPr>
      <w:r>
        <w:rPr>
          <w:rFonts w:hint="eastAsia" w:ascii="宋体" w:hAnsi="宋体"/>
          <w:bCs/>
          <w:sz w:val="24"/>
          <w:highlight w:val="none"/>
        </w:rPr>
        <w:t>需要时，获证组织与方圆集团公司修订认证合同。</w:t>
      </w:r>
    </w:p>
    <w:p>
      <w:pPr>
        <w:pStyle w:val="3"/>
        <w:rPr>
          <w:rFonts w:hint="eastAsia" w:ascii="宋体" w:hAnsi="宋体" w:eastAsia="宋体"/>
          <w:sz w:val="24"/>
          <w:szCs w:val="24"/>
          <w:highlight w:val="none"/>
        </w:rPr>
      </w:pPr>
      <w:bookmarkStart w:id="87" w:name="_Toc444776341"/>
      <w:r>
        <w:rPr>
          <w:rFonts w:hint="eastAsia" w:ascii="宋体" w:hAnsi="宋体" w:eastAsia="宋体"/>
          <w:sz w:val="24"/>
          <w:szCs w:val="24"/>
          <w:highlight w:val="none"/>
        </w:rPr>
        <w:t>11.5 变更认证信息的条件和程序</w:t>
      </w:r>
      <w:bookmarkEnd w:id="87"/>
    </w:p>
    <w:p>
      <w:pPr>
        <w:spacing w:line="360" w:lineRule="auto"/>
        <w:rPr>
          <w:rFonts w:hint="eastAsia" w:ascii="宋体" w:hAnsi="宋体"/>
          <w:bCs/>
          <w:sz w:val="24"/>
          <w:highlight w:val="none"/>
        </w:rPr>
      </w:pPr>
      <w:r>
        <w:rPr>
          <w:rFonts w:hint="eastAsia" w:ascii="宋体" w:hAnsi="宋体"/>
          <w:bCs/>
          <w:sz w:val="24"/>
          <w:highlight w:val="none"/>
        </w:rPr>
        <w:t>11.5.1</w:t>
      </w:r>
      <w:r>
        <w:rPr>
          <w:rFonts w:hint="eastAsia" w:ascii="宋体" w:hAnsi="宋体"/>
          <w:sz w:val="24"/>
          <w:highlight w:val="none"/>
        </w:rPr>
        <w:t>变更认证信息的条件和分类</w:t>
      </w:r>
    </w:p>
    <w:p>
      <w:pPr>
        <w:spacing w:line="360" w:lineRule="auto"/>
        <w:rPr>
          <w:rFonts w:hint="eastAsia" w:ascii="宋体" w:hAnsi="宋体"/>
          <w:sz w:val="24"/>
          <w:highlight w:val="none"/>
        </w:rPr>
      </w:pPr>
      <w:r>
        <w:rPr>
          <w:rFonts w:hint="eastAsia" w:ascii="宋体" w:hAnsi="宋体"/>
          <w:sz w:val="24"/>
          <w:highlight w:val="none"/>
        </w:rPr>
        <w:t>11.5.1.1变更认证信息的条件</w:t>
      </w:r>
    </w:p>
    <w:p>
      <w:pPr>
        <w:spacing w:line="360" w:lineRule="auto"/>
        <w:ind w:firstLine="480" w:firstLineChars="200"/>
        <w:rPr>
          <w:rFonts w:hint="eastAsia" w:ascii="宋体" w:hAnsi="宋体"/>
          <w:sz w:val="24"/>
          <w:highlight w:val="none"/>
        </w:rPr>
      </w:pPr>
      <w:r>
        <w:rPr>
          <w:rFonts w:hint="eastAsia" w:ascii="宋体" w:hAnsi="宋体"/>
          <w:sz w:val="24"/>
          <w:highlight w:val="none"/>
        </w:rPr>
        <w:t>在认证证书有效内，获证客户因信息发生变更，导致与认证证书信息不一致时，应予以更新。</w:t>
      </w:r>
    </w:p>
    <w:p>
      <w:pPr>
        <w:spacing w:line="360" w:lineRule="auto"/>
        <w:rPr>
          <w:rFonts w:hint="eastAsia" w:ascii="宋体" w:hAnsi="宋体"/>
          <w:sz w:val="24"/>
          <w:highlight w:val="none"/>
        </w:rPr>
      </w:pPr>
      <w:r>
        <w:rPr>
          <w:rFonts w:hint="eastAsia" w:ascii="宋体" w:hAnsi="宋体"/>
          <w:sz w:val="24"/>
          <w:highlight w:val="none"/>
        </w:rPr>
        <w:t>11.5.1.2变更认证信息的分类：</w:t>
      </w:r>
    </w:p>
    <w:p>
      <w:pPr>
        <w:numPr>
          <w:ilvl w:val="0"/>
          <w:numId w:val="19"/>
        </w:numPr>
        <w:tabs>
          <w:tab w:val="left" w:pos="720"/>
        </w:tabs>
        <w:spacing w:line="360" w:lineRule="auto"/>
        <w:rPr>
          <w:rFonts w:hint="eastAsia" w:ascii="宋体" w:hAnsi="宋体" w:cs="宋体"/>
          <w:sz w:val="24"/>
          <w:highlight w:val="none"/>
        </w:rPr>
      </w:pPr>
      <w:r>
        <w:rPr>
          <w:rFonts w:hint="eastAsia" w:ascii="宋体" w:hAnsi="宋体" w:cs="宋体"/>
          <w:sz w:val="24"/>
          <w:highlight w:val="none"/>
        </w:rPr>
        <w:t>获证客户名称、住所变更；</w:t>
      </w:r>
    </w:p>
    <w:p>
      <w:pPr>
        <w:numPr>
          <w:ilvl w:val="0"/>
          <w:numId w:val="19"/>
        </w:numPr>
        <w:tabs>
          <w:tab w:val="left" w:pos="720"/>
        </w:tabs>
        <w:spacing w:line="360" w:lineRule="auto"/>
        <w:rPr>
          <w:rFonts w:hint="eastAsia" w:ascii="宋体" w:hAnsi="宋体" w:cs="宋体"/>
          <w:sz w:val="24"/>
          <w:highlight w:val="none"/>
        </w:rPr>
      </w:pPr>
      <w:r>
        <w:rPr>
          <w:rFonts w:hint="eastAsia" w:ascii="宋体" w:hAnsi="宋体" w:cs="宋体"/>
          <w:sz w:val="24"/>
          <w:highlight w:val="none"/>
        </w:rPr>
        <w:t>认证地址变更；</w:t>
      </w:r>
    </w:p>
    <w:p>
      <w:pPr>
        <w:numPr>
          <w:ilvl w:val="0"/>
          <w:numId w:val="19"/>
        </w:numPr>
        <w:tabs>
          <w:tab w:val="left" w:pos="720"/>
        </w:tabs>
        <w:spacing w:line="360" w:lineRule="auto"/>
        <w:rPr>
          <w:rFonts w:hint="eastAsia" w:ascii="宋体" w:hAnsi="宋体" w:cs="宋体"/>
          <w:sz w:val="24"/>
          <w:highlight w:val="none"/>
        </w:rPr>
      </w:pPr>
      <w:r>
        <w:rPr>
          <w:rFonts w:hint="eastAsia" w:ascii="宋体" w:hAnsi="宋体" w:cs="宋体"/>
          <w:sz w:val="24"/>
          <w:highlight w:val="none"/>
        </w:rPr>
        <w:t>地名、邮编变更；</w:t>
      </w:r>
    </w:p>
    <w:p>
      <w:pPr>
        <w:numPr>
          <w:ilvl w:val="0"/>
          <w:numId w:val="19"/>
        </w:numPr>
        <w:tabs>
          <w:tab w:val="left" w:pos="720"/>
        </w:tabs>
        <w:spacing w:line="360" w:lineRule="auto"/>
        <w:rPr>
          <w:rFonts w:hint="eastAsia" w:ascii="宋体" w:hAnsi="宋体" w:cs="宋体"/>
          <w:sz w:val="24"/>
          <w:highlight w:val="none"/>
        </w:rPr>
      </w:pPr>
      <w:r>
        <w:rPr>
          <w:rFonts w:hint="eastAsia" w:ascii="宋体" w:hAnsi="宋体" w:cs="宋体"/>
          <w:sz w:val="24"/>
          <w:highlight w:val="none"/>
        </w:rPr>
        <w:t>企业人数变更，证书编号变更；</w:t>
      </w:r>
    </w:p>
    <w:p>
      <w:pPr>
        <w:numPr>
          <w:ilvl w:val="0"/>
          <w:numId w:val="19"/>
        </w:numPr>
        <w:tabs>
          <w:tab w:val="left" w:pos="720"/>
        </w:tabs>
        <w:spacing w:line="360" w:lineRule="auto"/>
        <w:rPr>
          <w:rFonts w:hint="eastAsia" w:ascii="宋体" w:hAnsi="宋体" w:cs="宋体"/>
          <w:sz w:val="24"/>
          <w:highlight w:val="none"/>
        </w:rPr>
      </w:pPr>
      <w:r>
        <w:rPr>
          <w:rFonts w:hint="eastAsia" w:ascii="宋体" w:hAnsi="宋体" w:cs="宋体"/>
          <w:sz w:val="24"/>
          <w:highlight w:val="none"/>
        </w:rPr>
        <w:t>证书范围中的产品、服务、活动的变更。</w:t>
      </w:r>
    </w:p>
    <w:p>
      <w:pPr>
        <w:spacing w:line="360" w:lineRule="auto"/>
        <w:rPr>
          <w:rFonts w:hint="eastAsia" w:ascii="宋体" w:hAnsi="宋体"/>
          <w:bCs/>
          <w:sz w:val="24"/>
          <w:highlight w:val="none"/>
        </w:rPr>
      </w:pPr>
      <w:r>
        <w:rPr>
          <w:rFonts w:hint="eastAsia" w:ascii="宋体" w:hAnsi="宋体"/>
          <w:bCs/>
          <w:sz w:val="24"/>
          <w:highlight w:val="none"/>
        </w:rPr>
        <w:t>11.5.2变更认证信息的程序</w:t>
      </w:r>
    </w:p>
    <w:p>
      <w:pPr>
        <w:spacing w:line="360" w:lineRule="auto"/>
        <w:rPr>
          <w:rFonts w:hint="eastAsia" w:ascii="宋体" w:hAnsi="宋体"/>
          <w:color w:val="000000"/>
          <w:sz w:val="24"/>
          <w:highlight w:val="none"/>
        </w:rPr>
      </w:pPr>
      <w:r>
        <w:rPr>
          <w:rFonts w:hint="eastAsia" w:ascii="宋体" w:hAnsi="宋体"/>
          <w:color w:val="000000"/>
          <w:sz w:val="24"/>
          <w:highlight w:val="none"/>
        </w:rPr>
        <w:t>11.5.2.1认证信息的变更需提交的资料</w:t>
      </w:r>
    </w:p>
    <w:p>
      <w:pPr>
        <w:spacing w:line="360" w:lineRule="auto"/>
        <w:rPr>
          <w:rFonts w:hint="eastAsia" w:ascii="宋体" w:hAnsi="宋体"/>
          <w:color w:val="000000"/>
          <w:sz w:val="24"/>
          <w:highlight w:val="none"/>
        </w:rPr>
      </w:pPr>
      <w:r>
        <w:rPr>
          <w:rFonts w:hint="eastAsia" w:ascii="宋体" w:hAnsi="宋体"/>
          <w:color w:val="000000"/>
          <w:sz w:val="24"/>
          <w:highlight w:val="none"/>
        </w:rPr>
        <w:t>11.5.2.1.1获证客户名称、住所变更应提交的资料</w:t>
      </w:r>
    </w:p>
    <w:p>
      <w:pPr>
        <w:numPr>
          <w:ilvl w:val="0"/>
          <w:numId w:val="20"/>
        </w:numPr>
        <w:spacing w:line="360" w:lineRule="auto"/>
        <w:ind w:left="1134" w:hanging="708"/>
        <w:rPr>
          <w:rFonts w:hint="eastAsia" w:ascii="宋体" w:hAnsi="宋体"/>
          <w:sz w:val="24"/>
          <w:highlight w:val="none"/>
        </w:rPr>
      </w:pPr>
      <w:r>
        <w:rPr>
          <w:rFonts w:hint="eastAsia" w:ascii="宋体" w:hAnsi="宋体"/>
          <w:sz w:val="24"/>
          <w:highlight w:val="none"/>
        </w:rPr>
        <w:t>获证客户</w:t>
      </w:r>
      <w:r>
        <w:rPr>
          <w:rFonts w:ascii="宋体" w:hAnsi="宋体"/>
          <w:sz w:val="24"/>
          <w:highlight w:val="none"/>
        </w:rPr>
        <w:t>的</w:t>
      </w:r>
      <w:r>
        <w:rPr>
          <w:rFonts w:hint="eastAsia" w:ascii="宋体" w:hAnsi="宋体"/>
          <w:sz w:val="24"/>
          <w:highlight w:val="none"/>
        </w:rPr>
        <w:t>书面</w:t>
      </w:r>
      <w:r>
        <w:rPr>
          <w:rFonts w:ascii="宋体" w:hAnsi="宋体"/>
          <w:sz w:val="24"/>
          <w:highlight w:val="none"/>
        </w:rPr>
        <w:t>变更申请；</w:t>
      </w:r>
    </w:p>
    <w:p>
      <w:pPr>
        <w:numPr>
          <w:ilvl w:val="0"/>
          <w:numId w:val="20"/>
        </w:numPr>
        <w:spacing w:line="360" w:lineRule="auto"/>
        <w:ind w:left="851" w:hanging="425"/>
        <w:rPr>
          <w:rFonts w:hint="eastAsia" w:ascii="宋体" w:hAnsi="宋体"/>
          <w:sz w:val="24"/>
          <w:highlight w:val="none"/>
        </w:rPr>
      </w:pPr>
      <w:r>
        <w:rPr>
          <w:rFonts w:ascii="宋体" w:hAnsi="宋体"/>
          <w:sz w:val="24"/>
          <w:highlight w:val="none"/>
        </w:rPr>
        <w:t>获证客户是企业的，提供工商行政主管部门的变更核准证明及新营业执照复印件；其他性质的获证客户提供允许其设立的政府行政主管部门的相关文件；</w:t>
      </w:r>
    </w:p>
    <w:p>
      <w:pPr>
        <w:numPr>
          <w:ilvl w:val="0"/>
          <w:numId w:val="20"/>
        </w:numPr>
        <w:spacing w:line="360" w:lineRule="auto"/>
        <w:ind w:left="851" w:hanging="425"/>
        <w:rPr>
          <w:rFonts w:hint="eastAsia" w:ascii="宋体" w:hAnsi="宋体"/>
          <w:sz w:val="24"/>
          <w:highlight w:val="none"/>
        </w:rPr>
      </w:pPr>
      <w:r>
        <w:rPr>
          <w:rFonts w:ascii="宋体" w:hAnsi="宋体"/>
          <w:sz w:val="24"/>
          <w:highlight w:val="none"/>
        </w:rPr>
        <w:t>对于因改制、企业重组引起的名称变更，</w:t>
      </w:r>
      <w:r>
        <w:rPr>
          <w:rFonts w:hint="eastAsia" w:ascii="宋体" w:hAnsi="宋体"/>
          <w:sz w:val="24"/>
          <w:highlight w:val="none"/>
        </w:rPr>
        <w:t>获证客户</w:t>
      </w:r>
      <w:r>
        <w:rPr>
          <w:rFonts w:ascii="宋体" w:hAnsi="宋体"/>
          <w:sz w:val="24"/>
          <w:highlight w:val="none"/>
        </w:rPr>
        <w:t>不能获得名称变更核准证明时，应</w:t>
      </w:r>
      <w:r>
        <w:rPr>
          <w:rFonts w:hint="eastAsia" w:ascii="宋体" w:hAnsi="宋体"/>
          <w:sz w:val="24"/>
          <w:highlight w:val="none"/>
        </w:rPr>
        <w:t>提交</w:t>
      </w:r>
      <w:r>
        <w:rPr>
          <w:rFonts w:ascii="宋体" w:hAnsi="宋体"/>
          <w:sz w:val="24"/>
          <w:highlight w:val="none"/>
        </w:rPr>
        <w:t>组织以原名称和现名称名义的更名申请、政府有关部门的批文和原名称注销证明；并</w:t>
      </w:r>
      <w:r>
        <w:rPr>
          <w:rFonts w:hint="eastAsia" w:ascii="宋体" w:hAnsi="宋体"/>
          <w:sz w:val="24"/>
          <w:highlight w:val="none"/>
        </w:rPr>
        <w:t>需因</w:t>
      </w:r>
      <w:r>
        <w:rPr>
          <w:rFonts w:ascii="宋体" w:hAnsi="宋体"/>
          <w:sz w:val="24"/>
          <w:highlight w:val="none"/>
        </w:rPr>
        <w:t>管理体系发生重大变更</w:t>
      </w:r>
      <w:r>
        <w:rPr>
          <w:rFonts w:hint="eastAsia" w:ascii="宋体" w:hAnsi="宋体"/>
          <w:sz w:val="24"/>
          <w:highlight w:val="none"/>
        </w:rPr>
        <w:t>接受CQM的</w:t>
      </w:r>
      <w:r>
        <w:rPr>
          <w:rFonts w:ascii="宋体" w:hAnsi="宋体"/>
          <w:sz w:val="24"/>
          <w:highlight w:val="none"/>
        </w:rPr>
        <w:t>一次监督审核和审定</w:t>
      </w:r>
      <w:r>
        <w:rPr>
          <w:rFonts w:hint="eastAsia" w:ascii="宋体" w:hAnsi="宋体"/>
          <w:sz w:val="24"/>
          <w:highlight w:val="none"/>
        </w:rPr>
        <w:t>；</w:t>
      </w:r>
    </w:p>
    <w:p>
      <w:pPr>
        <w:numPr>
          <w:ilvl w:val="0"/>
          <w:numId w:val="20"/>
        </w:numPr>
        <w:spacing w:line="360" w:lineRule="auto"/>
        <w:ind w:left="851" w:hanging="425"/>
        <w:rPr>
          <w:rFonts w:hint="eastAsia" w:ascii="宋体" w:hAnsi="宋体"/>
          <w:sz w:val="24"/>
          <w:highlight w:val="none"/>
        </w:rPr>
      </w:pPr>
      <w:r>
        <w:rPr>
          <w:rFonts w:hint="eastAsia" w:ascii="宋体" w:hAnsi="宋体"/>
          <w:sz w:val="24"/>
          <w:highlight w:val="none"/>
        </w:rPr>
        <w:t>有行政许可、资质等要求的获证客户，还应提供按新名称变更后的有关文件。</w:t>
      </w:r>
    </w:p>
    <w:p>
      <w:pPr>
        <w:spacing w:line="360" w:lineRule="auto"/>
        <w:rPr>
          <w:rFonts w:hint="eastAsia" w:ascii="宋体" w:hAnsi="宋体"/>
          <w:color w:val="000000"/>
          <w:sz w:val="24"/>
          <w:highlight w:val="none"/>
        </w:rPr>
      </w:pPr>
      <w:r>
        <w:rPr>
          <w:rFonts w:hint="eastAsia" w:ascii="宋体" w:hAnsi="宋体"/>
          <w:color w:val="000000"/>
          <w:sz w:val="24"/>
          <w:highlight w:val="none"/>
        </w:rPr>
        <w:t>11.5.2.1.2认证地址变更需要提交的资料</w:t>
      </w:r>
    </w:p>
    <w:p>
      <w:pPr>
        <w:numPr>
          <w:ilvl w:val="0"/>
          <w:numId w:val="21"/>
        </w:numPr>
        <w:tabs>
          <w:tab w:val="left" w:pos="840"/>
        </w:tabs>
        <w:spacing w:line="360" w:lineRule="auto"/>
        <w:ind w:hanging="1194"/>
        <w:rPr>
          <w:rFonts w:hint="eastAsia" w:ascii="宋体" w:hAnsi="宋体"/>
          <w:sz w:val="24"/>
          <w:highlight w:val="none"/>
        </w:rPr>
      </w:pPr>
      <w:r>
        <w:rPr>
          <w:rFonts w:hint="eastAsia" w:ascii="宋体" w:hAnsi="宋体"/>
          <w:sz w:val="24"/>
          <w:highlight w:val="none"/>
        </w:rPr>
        <w:t>获证客户</w:t>
      </w:r>
      <w:r>
        <w:rPr>
          <w:rFonts w:ascii="宋体" w:hAnsi="宋体"/>
          <w:sz w:val="24"/>
          <w:highlight w:val="none"/>
        </w:rPr>
        <w:t>的</w:t>
      </w:r>
      <w:r>
        <w:rPr>
          <w:rFonts w:hint="eastAsia" w:ascii="宋体" w:hAnsi="宋体"/>
          <w:sz w:val="24"/>
          <w:highlight w:val="none"/>
        </w:rPr>
        <w:t>书面</w:t>
      </w:r>
      <w:r>
        <w:rPr>
          <w:rFonts w:ascii="宋体" w:hAnsi="宋体"/>
          <w:sz w:val="24"/>
          <w:highlight w:val="none"/>
        </w:rPr>
        <w:t>变更申请；</w:t>
      </w:r>
    </w:p>
    <w:p>
      <w:pPr>
        <w:numPr>
          <w:ilvl w:val="0"/>
          <w:numId w:val="21"/>
        </w:numPr>
        <w:spacing w:line="360" w:lineRule="auto"/>
        <w:ind w:left="851" w:hanging="425"/>
        <w:rPr>
          <w:rFonts w:hint="eastAsia" w:ascii="宋体" w:hAnsi="宋体"/>
          <w:sz w:val="24"/>
          <w:highlight w:val="none"/>
        </w:rPr>
      </w:pPr>
      <w:r>
        <w:rPr>
          <w:rFonts w:hint="eastAsia" w:ascii="宋体" w:hAnsi="宋体"/>
          <w:sz w:val="24"/>
          <w:highlight w:val="none"/>
        </w:rPr>
        <w:t>有行政许可、资质等要求的获证客户，还应提供按新地址变更后的法规要求的有关文件（必要时，包括环评、环保验收，安评、安全验收等证据材料）。</w:t>
      </w:r>
    </w:p>
    <w:p>
      <w:pPr>
        <w:spacing w:line="360" w:lineRule="auto"/>
        <w:rPr>
          <w:rFonts w:hint="eastAsia" w:ascii="宋体" w:hAnsi="宋体"/>
          <w:color w:val="000000"/>
          <w:sz w:val="24"/>
          <w:highlight w:val="none"/>
        </w:rPr>
      </w:pPr>
      <w:r>
        <w:rPr>
          <w:rFonts w:hint="eastAsia" w:ascii="宋体" w:hAnsi="宋体"/>
          <w:color w:val="000000"/>
          <w:sz w:val="24"/>
          <w:highlight w:val="none"/>
        </w:rPr>
        <w:t>11.5.2.1.3 地名、邮编变更需要提交的资料</w:t>
      </w:r>
    </w:p>
    <w:p>
      <w:pPr>
        <w:numPr>
          <w:ilvl w:val="0"/>
          <w:numId w:val="22"/>
        </w:numPr>
        <w:spacing w:line="360" w:lineRule="auto"/>
        <w:ind w:left="840"/>
        <w:rPr>
          <w:rFonts w:hint="eastAsia" w:ascii="宋体" w:hAnsi="宋体"/>
          <w:sz w:val="24"/>
          <w:highlight w:val="none"/>
        </w:rPr>
      </w:pPr>
      <w:r>
        <w:rPr>
          <w:rFonts w:hint="eastAsia" w:ascii="宋体" w:hAnsi="宋体"/>
          <w:sz w:val="24"/>
          <w:highlight w:val="none"/>
        </w:rPr>
        <w:t>获证客户</w:t>
      </w:r>
      <w:r>
        <w:rPr>
          <w:rFonts w:ascii="宋体" w:hAnsi="宋体"/>
          <w:sz w:val="24"/>
          <w:highlight w:val="none"/>
        </w:rPr>
        <w:t>的</w:t>
      </w:r>
      <w:r>
        <w:rPr>
          <w:rFonts w:hint="eastAsia" w:ascii="宋体" w:hAnsi="宋体"/>
          <w:sz w:val="24"/>
          <w:highlight w:val="none"/>
        </w:rPr>
        <w:t>书面</w:t>
      </w:r>
      <w:r>
        <w:rPr>
          <w:rFonts w:ascii="宋体" w:hAnsi="宋体"/>
          <w:sz w:val="24"/>
          <w:highlight w:val="none"/>
        </w:rPr>
        <w:t>变更申请</w:t>
      </w:r>
      <w:r>
        <w:rPr>
          <w:rFonts w:hint="eastAsia" w:ascii="宋体" w:hAnsi="宋体"/>
          <w:sz w:val="24"/>
          <w:highlight w:val="none"/>
        </w:rPr>
        <w:t>；</w:t>
      </w:r>
    </w:p>
    <w:p>
      <w:pPr>
        <w:numPr>
          <w:ilvl w:val="0"/>
          <w:numId w:val="22"/>
        </w:numPr>
        <w:spacing w:line="360" w:lineRule="auto"/>
        <w:ind w:left="851" w:hanging="425"/>
        <w:rPr>
          <w:rFonts w:hint="eastAsia" w:ascii="宋体" w:hAnsi="宋体"/>
          <w:sz w:val="24"/>
          <w:highlight w:val="none"/>
        </w:rPr>
      </w:pPr>
      <w:r>
        <w:rPr>
          <w:rFonts w:hint="eastAsia" w:ascii="宋体" w:hAnsi="宋体"/>
          <w:sz w:val="24"/>
          <w:highlight w:val="none"/>
        </w:rPr>
        <w:t>当地政府的相关证明；</w:t>
      </w:r>
    </w:p>
    <w:p>
      <w:pPr>
        <w:numPr>
          <w:ilvl w:val="0"/>
          <w:numId w:val="22"/>
        </w:numPr>
        <w:spacing w:line="360" w:lineRule="auto"/>
        <w:ind w:left="851" w:hanging="425"/>
        <w:rPr>
          <w:rFonts w:hint="eastAsia" w:ascii="宋体" w:hAnsi="宋体"/>
          <w:sz w:val="24"/>
          <w:highlight w:val="none"/>
        </w:rPr>
      </w:pPr>
      <w:r>
        <w:rPr>
          <w:rFonts w:hint="eastAsia" w:ascii="宋体" w:hAnsi="宋体"/>
          <w:sz w:val="24"/>
          <w:highlight w:val="none"/>
        </w:rPr>
        <w:t>对有行政许可、资质等要求的获证客户，还应提供按新地址变更后的有关文件。</w:t>
      </w:r>
    </w:p>
    <w:p>
      <w:pPr>
        <w:spacing w:line="360" w:lineRule="auto"/>
        <w:rPr>
          <w:rFonts w:hint="eastAsia" w:ascii="宋体" w:hAnsi="宋体"/>
          <w:color w:val="000000"/>
          <w:sz w:val="24"/>
          <w:highlight w:val="none"/>
        </w:rPr>
      </w:pPr>
      <w:r>
        <w:rPr>
          <w:rFonts w:hint="eastAsia" w:ascii="宋体" w:hAnsi="宋体"/>
          <w:color w:val="000000"/>
          <w:sz w:val="24"/>
          <w:highlight w:val="none"/>
        </w:rPr>
        <w:t>11.5.2.1.4企业增加人数，证书编号变更需要提交的资料</w:t>
      </w:r>
    </w:p>
    <w:p>
      <w:pPr>
        <w:spacing w:line="360" w:lineRule="auto"/>
        <w:ind w:firstLine="480" w:firstLineChars="200"/>
        <w:rPr>
          <w:rFonts w:hint="eastAsia" w:ascii="宋体" w:hAnsi="宋体"/>
          <w:color w:val="000000"/>
          <w:sz w:val="24"/>
          <w:highlight w:val="none"/>
        </w:rPr>
      </w:pPr>
      <w:r>
        <w:rPr>
          <w:rFonts w:hint="eastAsia" w:ascii="宋体" w:hAnsi="宋体"/>
          <w:sz w:val="24"/>
          <w:highlight w:val="none"/>
        </w:rPr>
        <w:t>获证客户</w:t>
      </w:r>
      <w:r>
        <w:rPr>
          <w:rFonts w:ascii="宋体" w:hAnsi="宋体"/>
          <w:color w:val="000000"/>
          <w:sz w:val="24"/>
          <w:highlight w:val="none"/>
        </w:rPr>
        <w:t>提出</w:t>
      </w:r>
      <w:r>
        <w:rPr>
          <w:rFonts w:hint="eastAsia" w:ascii="宋体" w:hAnsi="宋体"/>
          <w:color w:val="000000"/>
          <w:sz w:val="24"/>
          <w:highlight w:val="none"/>
        </w:rPr>
        <w:t>企业增加人数时，需提交变更企业人数和证书编号的书面申请。</w:t>
      </w:r>
    </w:p>
    <w:p>
      <w:pPr>
        <w:spacing w:line="360" w:lineRule="auto"/>
        <w:rPr>
          <w:rFonts w:hint="eastAsia" w:ascii="宋体" w:hAnsi="宋体"/>
          <w:color w:val="000000"/>
          <w:sz w:val="24"/>
          <w:highlight w:val="none"/>
        </w:rPr>
      </w:pPr>
      <w:r>
        <w:rPr>
          <w:rFonts w:hint="eastAsia" w:ascii="宋体" w:hAnsi="宋体"/>
          <w:color w:val="000000"/>
          <w:sz w:val="24"/>
          <w:highlight w:val="none"/>
        </w:rPr>
        <w:t>11.5.2.1.5 证书范围中的产品、服务、活动的变更需要提交的资料</w:t>
      </w:r>
    </w:p>
    <w:p>
      <w:pPr>
        <w:numPr>
          <w:ilvl w:val="1"/>
          <w:numId w:val="23"/>
        </w:numPr>
        <w:spacing w:line="360" w:lineRule="auto"/>
        <w:ind w:left="709" w:hanging="283"/>
        <w:rPr>
          <w:rFonts w:hint="eastAsia" w:ascii="宋体" w:hAnsi="宋体"/>
          <w:color w:val="000000"/>
          <w:sz w:val="24"/>
          <w:highlight w:val="none"/>
        </w:rPr>
      </w:pPr>
      <w:r>
        <w:rPr>
          <w:rFonts w:hint="eastAsia" w:ascii="宋体" w:hAnsi="宋体"/>
          <w:color w:val="000000"/>
          <w:sz w:val="24"/>
          <w:highlight w:val="none"/>
        </w:rPr>
        <w:t>获证客户</w:t>
      </w:r>
      <w:r>
        <w:rPr>
          <w:rFonts w:ascii="宋体" w:hAnsi="宋体"/>
          <w:color w:val="000000"/>
          <w:sz w:val="24"/>
          <w:highlight w:val="none"/>
        </w:rPr>
        <w:t>的</w:t>
      </w:r>
      <w:r>
        <w:rPr>
          <w:rFonts w:hint="eastAsia" w:ascii="宋体" w:hAnsi="宋体"/>
          <w:color w:val="000000"/>
          <w:sz w:val="24"/>
          <w:highlight w:val="none"/>
        </w:rPr>
        <w:t>书面</w:t>
      </w:r>
      <w:r>
        <w:rPr>
          <w:rFonts w:ascii="宋体" w:hAnsi="宋体"/>
          <w:color w:val="000000"/>
          <w:sz w:val="24"/>
          <w:highlight w:val="none"/>
        </w:rPr>
        <w:t>变更申请</w:t>
      </w:r>
      <w:r>
        <w:rPr>
          <w:rFonts w:hint="eastAsia" w:ascii="宋体" w:hAnsi="宋体"/>
          <w:color w:val="000000"/>
          <w:sz w:val="24"/>
          <w:highlight w:val="none"/>
        </w:rPr>
        <w:t>；</w:t>
      </w:r>
    </w:p>
    <w:p>
      <w:pPr>
        <w:numPr>
          <w:ilvl w:val="0"/>
          <w:numId w:val="23"/>
        </w:numPr>
        <w:tabs>
          <w:tab w:val="left" w:pos="720"/>
        </w:tabs>
        <w:spacing w:line="360" w:lineRule="auto"/>
        <w:rPr>
          <w:rFonts w:hint="eastAsia" w:ascii="宋体" w:hAnsi="宋体" w:cs="宋体"/>
          <w:sz w:val="24"/>
          <w:highlight w:val="none"/>
        </w:rPr>
      </w:pPr>
      <w:r>
        <w:rPr>
          <w:rFonts w:hint="eastAsia" w:ascii="宋体" w:hAnsi="宋体"/>
          <w:color w:val="000000"/>
          <w:sz w:val="24"/>
          <w:highlight w:val="none"/>
        </w:rPr>
        <w:t>对有行政许可、资质等要求的认证范围，还应提供相应文件复印件。</w:t>
      </w:r>
    </w:p>
    <w:p>
      <w:pPr>
        <w:spacing w:line="360" w:lineRule="auto"/>
        <w:rPr>
          <w:rFonts w:hint="eastAsia" w:ascii="宋体" w:hAnsi="宋体"/>
          <w:color w:val="000000"/>
          <w:sz w:val="24"/>
          <w:highlight w:val="none"/>
        </w:rPr>
      </w:pPr>
      <w:r>
        <w:rPr>
          <w:rFonts w:hint="eastAsia" w:ascii="宋体" w:hAnsi="宋体"/>
          <w:color w:val="000000"/>
          <w:sz w:val="24"/>
          <w:highlight w:val="none"/>
        </w:rPr>
        <w:t>11.5.2.2 认证信息变更的办理流程</w:t>
      </w:r>
    </w:p>
    <w:p>
      <w:pPr>
        <w:numPr>
          <w:ilvl w:val="0"/>
          <w:numId w:val="24"/>
        </w:numPr>
        <w:tabs>
          <w:tab w:val="left" w:pos="709"/>
          <w:tab w:val="clear" w:pos="1050"/>
        </w:tabs>
        <w:spacing w:line="360" w:lineRule="auto"/>
        <w:ind w:left="709" w:hanging="349"/>
        <w:rPr>
          <w:rFonts w:hint="eastAsia" w:ascii="宋体" w:hAnsi="宋体" w:cs="宋体"/>
          <w:sz w:val="24"/>
          <w:highlight w:val="none"/>
        </w:rPr>
      </w:pPr>
      <w:r>
        <w:rPr>
          <w:rFonts w:hint="eastAsia" w:ascii="宋体" w:hAnsi="宋体" w:cs="宋体"/>
          <w:sz w:val="24"/>
          <w:highlight w:val="none"/>
        </w:rPr>
        <w:t>获证客户根据11.6.1要求向CQM正式提交满足11.6.2.1要求的申请和相关文件资料；</w:t>
      </w:r>
    </w:p>
    <w:p>
      <w:pPr>
        <w:numPr>
          <w:ilvl w:val="0"/>
          <w:numId w:val="24"/>
        </w:numPr>
        <w:tabs>
          <w:tab w:val="left" w:pos="720"/>
        </w:tabs>
        <w:spacing w:line="360" w:lineRule="auto"/>
        <w:rPr>
          <w:rFonts w:hint="eastAsia" w:ascii="宋体" w:hAnsi="宋体" w:cs="宋体"/>
          <w:sz w:val="24"/>
          <w:highlight w:val="none"/>
        </w:rPr>
      </w:pPr>
      <w:r>
        <w:rPr>
          <w:rFonts w:hint="eastAsia" w:ascii="宋体" w:hAnsi="宋体" w:cs="宋体"/>
          <w:sz w:val="24"/>
          <w:highlight w:val="none"/>
        </w:rPr>
        <w:t>需要时，获证客户应接受CQM的审核；</w:t>
      </w:r>
    </w:p>
    <w:p>
      <w:pPr>
        <w:numPr>
          <w:ilvl w:val="0"/>
          <w:numId w:val="24"/>
        </w:numPr>
        <w:tabs>
          <w:tab w:val="left" w:pos="709"/>
          <w:tab w:val="clear" w:pos="1050"/>
        </w:tabs>
        <w:spacing w:line="360" w:lineRule="auto"/>
        <w:ind w:left="709" w:hanging="349"/>
        <w:rPr>
          <w:rFonts w:hint="eastAsia" w:ascii="宋体" w:hAnsi="宋体" w:cs="宋体"/>
          <w:sz w:val="24"/>
          <w:highlight w:val="none"/>
        </w:rPr>
      </w:pPr>
      <w:r>
        <w:rPr>
          <w:rFonts w:hint="eastAsia" w:ascii="宋体" w:hAnsi="宋体" w:cs="宋体"/>
          <w:sz w:val="24"/>
          <w:highlight w:val="none"/>
        </w:rPr>
        <w:t>经CQM审定，认为获证客户满足认证信息变更的条件，同意批准认证信息变更；</w:t>
      </w:r>
    </w:p>
    <w:p>
      <w:pPr>
        <w:spacing w:line="360" w:lineRule="auto"/>
        <w:ind w:left="420" w:leftChars="200"/>
        <w:rPr>
          <w:rFonts w:hint="eastAsia" w:ascii="宋体" w:hAnsi="宋体"/>
          <w:bCs/>
          <w:sz w:val="24"/>
          <w:highlight w:val="none"/>
        </w:rPr>
      </w:pPr>
      <w:r>
        <w:rPr>
          <w:rFonts w:hint="eastAsia" w:ascii="宋体" w:hAnsi="宋体" w:cs="宋体"/>
          <w:sz w:val="24"/>
          <w:highlight w:val="none"/>
        </w:rPr>
        <w:t>d）CQM收回原认证证书，换发认证证书或附件，认证证书的有效期保持不变。</w:t>
      </w:r>
    </w:p>
    <w:p>
      <w:pPr>
        <w:pStyle w:val="3"/>
        <w:rPr>
          <w:rFonts w:hint="eastAsia" w:ascii="宋体" w:hAnsi="宋体" w:eastAsia="宋体"/>
          <w:sz w:val="24"/>
          <w:szCs w:val="24"/>
          <w:highlight w:val="none"/>
        </w:rPr>
      </w:pPr>
      <w:bookmarkStart w:id="88" w:name="_Toc85103632"/>
      <w:bookmarkStart w:id="89" w:name="_Toc85256257"/>
      <w:bookmarkStart w:id="90" w:name="_Toc85105521"/>
      <w:bookmarkStart w:id="91" w:name="_Toc85256287"/>
      <w:bookmarkStart w:id="92" w:name="_Toc522697776"/>
      <w:r>
        <w:rPr>
          <w:rFonts w:hint="eastAsia" w:ascii="宋体" w:hAnsi="宋体" w:eastAsia="宋体"/>
          <w:sz w:val="24"/>
          <w:szCs w:val="24"/>
          <w:highlight w:val="none"/>
        </w:rPr>
        <w:t>11.6 暂停认证资格的条件</w:t>
      </w:r>
      <w:bookmarkEnd w:id="88"/>
      <w:bookmarkEnd w:id="89"/>
      <w:bookmarkEnd w:id="90"/>
      <w:bookmarkEnd w:id="91"/>
      <w:r>
        <w:rPr>
          <w:rFonts w:hint="eastAsia" w:ascii="宋体" w:hAnsi="宋体" w:eastAsia="宋体"/>
          <w:sz w:val="24"/>
          <w:szCs w:val="24"/>
          <w:highlight w:val="none"/>
        </w:rPr>
        <w:t>和程序</w:t>
      </w:r>
      <w:bookmarkEnd w:id="92"/>
    </w:p>
    <w:p>
      <w:pPr>
        <w:pStyle w:val="4"/>
        <w:ind w:left="478" w:hanging="478"/>
        <w:rPr>
          <w:rFonts w:hint="eastAsia" w:ascii="宋体" w:hAnsi="宋体" w:eastAsia="宋体"/>
          <w:b w:val="0"/>
          <w:highlight w:val="none"/>
        </w:rPr>
      </w:pPr>
      <w:r>
        <w:rPr>
          <w:rFonts w:hint="eastAsia" w:ascii="宋体" w:hAnsi="宋体" w:eastAsia="宋体"/>
          <w:b w:val="0"/>
          <w:highlight w:val="none"/>
        </w:rPr>
        <w:t>11.6.1 暂停认证资格的条件</w:t>
      </w:r>
    </w:p>
    <w:p>
      <w:pPr>
        <w:numPr>
          <w:ilvl w:val="0"/>
          <w:numId w:val="25"/>
        </w:numPr>
        <w:spacing w:line="360" w:lineRule="auto"/>
        <w:rPr>
          <w:rFonts w:hint="eastAsia" w:ascii="宋体" w:hAnsi="宋体"/>
          <w:bCs/>
          <w:sz w:val="24"/>
          <w:highlight w:val="none"/>
        </w:rPr>
      </w:pPr>
      <w:r>
        <w:rPr>
          <w:rFonts w:hint="eastAsia" w:ascii="宋体" w:hAnsi="宋体"/>
          <w:bCs/>
          <w:sz w:val="24"/>
          <w:highlight w:val="none"/>
        </w:rPr>
        <w:t>获证组织的法律地位、资质不再符合国家的最新要求，或认证范围已不在现行有效的法律地位文件和资质规定的范围内，但仍有可能在短期内符合规定要求的；</w:t>
      </w:r>
    </w:p>
    <w:p>
      <w:pPr>
        <w:numPr>
          <w:ilvl w:val="0"/>
          <w:numId w:val="25"/>
        </w:numPr>
        <w:spacing w:line="360" w:lineRule="auto"/>
        <w:rPr>
          <w:rFonts w:hint="eastAsia" w:ascii="宋体" w:hAnsi="宋体"/>
          <w:bCs/>
          <w:sz w:val="24"/>
          <w:highlight w:val="none"/>
        </w:rPr>
      </w:pPr>
      <w:r>
        <w:rPr>
          <w:rFonts w:hint="eastAsia" w:ascii="宋体" w:hAnsi="宋体"/>
          <w:bCs/>
          <w:sz w:val="24"/>
          <w:highlight w:val="none"/>
        </w:rPr>
        <w:t>获证组织未能在规定的期限内接受监督审核的；</w:t>
      </w:r>
    </w:p>
    <w:p>
      <w:pPr>
        <w:numPr>
          <w:ilvl w:val="0"/>
          <w:numId w:val="25"/>
        </w:numPr>
        <w:spacing w:line="360" w:lineRule="auto"/>
        <w:rPr>
          <w:rFonts w:hint="eastAsia" w:ascii="宋体" w:hAnsi="宋体"/>
          <w:bCs/>
          <w:sz w:val="24"/>
          <w:highlight w:val="none"/>
        </w:rPr>
      </w:pPr>
      <w:r>
        <w:rPr>
          <w:rFonts w:hint="eastAsia" w:ascii="宋体" w:hAnsi="宋体"/>
          <w:bCs/>
          <w:sz w:val="24"/>
          <w:highlight w:val="none"/>
        </w:rPr>
        <w:t>获证组织在监督审中发现的不合格未能在规定期限内采取纠正</w:t>
      </w:r>
      <w:r>
        <w:rPr>
          <w:rFonts w:ascii="宋体" w:hAnsi="宋体"/>
          <w:bCs/>
          <w:sz w:val="24"/>
          <w:highlight w:val="none"/>
        </w:rPr>
        <w:t>/</w:t>
      </w:r>
      <w:r>
        <w:rPr>
          <w:rFonts w:hint="eastAsia" w:ascii="宋体" w:hAnsi="宋体"/>
          <w:bCs/>
          <w:sz w:val="24"/>
          <w:highlight w:val="none"/>
        </w:rPr>
        <w:t>纠正措施或措施无效的；</w:t>
      </w:r>
    </w:p>
    <w:p>
      <w:pPr>
        <w:numPr>
          <w:ilvl w:val="0"/>
          <w:numId w:val="25"/>
        </w:numPr>
        <w:spacing w:line="360" w:lineRule="auto"/>
        <w:rPr>
          <w:rFonts w:hint="eastAsia" w:ascii="宋体" w:hAnsi="宋体"/>
          <w:bCs/>
          <w:sz w:val="24"/>
          <w:highlight w:val="none"/>
        </w:rPr>
      </w:pPr>
      <w:r>
        <w:rPr>
          <w:rFonts w:hint="eastAsia" w:ascii="宋体" w:hAnsi="宋体"/>
          <w:bCs/>
          <w:sz w:val="24"/>
          <w:highlight w:val="none"/>
        </w:rPr>
        <w:t>获证组织的</w:t>
      </w:r>
      <w:r>
        <w:rPr>
          <w:rFonts w:ascii="宋体" w:hAnsi="宋体"/>
          <w:bCs/>
          <w:sz w:val="24"/>
          <w:highlight w:val="none"/>
        </w:rPr>
        <w:t>HSE</w:t>
      </w:r>
      <w:r>
        <w:rPr>
          <w:rFonts w:hint="eastAsia" w:ascii="宋体" w:hAnsi="宋体"/>
          <w:bCs/>
          <w:sz w:val="24"/>
          <w:highlight w:val="none"/>
        </w:rPr>
        <w:t>管理体系发生重大变更，不能持续符合认证标准/规范性文件要求的；</w:t>
      </w:r>
    </w:p>
    <w:p>
      <w:pPr>
        <w:numPr>
          <w:ilvl w:val="0"/>
          <w:numId w:val="25"/>
        </w:numPr>
        <w:spacing w:line="360" w:lineRule="auto"/>
        <w:rPr>
          <w:rFonts w:hint="eastAsia" w:ascii="宋体" w:hAnsi="宋体"/>
          <w:bCs/>
          <w:sz w:val="24"/>
          <w:highlight w:val="none"/>
        </w:rPr>
      </w:pPr>
      <w:r>
        <w:rPr>
          <w:rFonts w:hint="eastAsia" w:ascii="宋体" w:hAnsi="宋体"/>
          <w:bCs/>
          <w:sz w:val="24"/>
          <w:highlight w:val="none"/>
        </w:rPr>
        <w:t>获证组织未按照认证要求的变更作出相应调整，或调整不满足变更要求的；</w:t>
      </w:r>
    </w:p>
    <w:p>
      <w:pPr>
        <w:numPr>
          <w:ilvl w:val="0"/>
          <w:numId w:val="25"/>
        </w:numPr>
        <w:spacing w:line="360" w:lineRule="auto"/>
        <w:rPr>
          <w:rFonts w:hint="eastAsia" w:ascii="宋体" w:hAnsi="宋体"/>
          <w:bCs/>
          <w:sz w:val="24"/>
          <w:highlight w:val="none"/>
        </w:rPr>
      </w:pPr>
      <w:r>
        <w:rPr>
          <w:rFonts w:hint="eastAsia" w:ascii="宋体" w:hAnsi="宋体"/>
          <w:bCs/>
          <w:sz w:val="24"/>
          <w:highlight w:val="none"/>
        </w:rPr>
        <w:t>获证组织于获证期间在认证范围内发生重大事故，尚未查明原因和采取补救措施的；</w:t>
      </w:r>
    </w:p>
    <w:p>
      <w:pPr>
        <w:numPr>
          <w:ilvl w:val="0"/>
          <w:numId w:val="25"/>
        </w:numPr>
        <w:spacing w:line="360" w:lineRule="auto"/>
        <w:rPr>
          <w:rFonts w:hint="eastAsia" w:ascii="宋体" w:hAnsi="宋体"/>
          <w:bCs/>
          <w:sz w:val="24"/>
          <w:highlight w:val="none"/>
        </w:rPr>
      </w:pPr>
      <w:r>
        <w:rPr>
          <w:rFonts w:hint="eastAsia" w:ascii="宋体" w:hAnsi="宋体"/>
          <w:bCs/>
          <w:sz w:val="24"/>
          <w:highlight w:val="none"/>
        </w:rPr>
        <w:t>获证组织在获证期间发生误用认证证书，尚未能及时有效地采取纠正和纠正措施，以将产生的影响降至最少程度的；</w:t>
      </w:r>
    </w:p>
    <w:p>
      <w:pPr>
        <w:numPr>
          <w:ilvl w:val="0"/>
          <w:numId w:val="25"/>
        </w:numPr>
        <w:spacing w:line="360" w:lineRule="auto"/>
        <w:rPr>
          <w:rFonts w:hint="eastAsia" w:ascii="宋体" w:hAnsi="宋体"/>
          <w:bCs/>
          <w:sz w:val="24"/>
          <w:highlight w:val="none"/>
        </w:rPr>
      </w:pPr>
      <w:r>
        <w:rPr>
          <w:rFonts w:hint="eastAsia" w:ascii="宋体" w:hAnsi="宋体"/>
          <w:bCs/>
          <w:sz w:val="24"/>
          <w:highlight w:val="none"/>
        </w:rPr>
        <w:t>获证组织对顾客或相关方的重大投诉未有效地处理的；</w:t>
      </w:r>
    </w:p>
    <w:p>
      <w:pPr>
        <w:numPr>
          <w:ilvl w:val="0"/>
          <w:numId w:val="25"/>
        </w:numPr>
        <w:spacing w:line="360" w:lineRule="auto"/>
        <w:rPr>
          <w:rFonts w:hint="eastAsia" w:ascii="宋体" w:hAnsi="宋体"/>
          <w:bCs/>
          <w:sz w:val="24"/>
          <w:highlight w:val="none"/>
        </w:rPr>
      </w:pPr>
      <w:r>
        <w:rPr>
          <w:rFonts w:hint="eastAsia" w:ascii="宋体" w:hAnsi="宋体"/>
          <w:bCs/>
          <w:sz w:val="24"/>
          <w:highlight w:val="none"/>
        </w:rPr>
        <w:t>获证组织未履行与方圆集团公司签署认证合同中规定的责任和义务，并对保持认证资格产生重大影响的，或未按照认证合同规定缴纳认证费用的；</w:t>
      </w:r>
    </w:p>
    <w:p>
      <w:pPr>
        <w:numPr>
          <w:ilvl w:val="0"/>
          <w:numId w:val="25"/>
        </w:numPr>
        <w:spacing w:line="360" w:lineRule="auto"/>
        <w:rPr>
          <w:rFonts w:hint="eastAsia" w:ascii="宋体" w:hAnsi="宋体"/>
          <w:bCs/>
          <w:sz w:val="24"/>
          <w:highlight w:val="none"/>
        </w:rPr>
      </w:pPr>
      <w:r>
        <w:rPr>
          <w:rFonts w:hint="eastAsia" w:ascii="宋体" w:hAnsi="宋体"/>
          <w:bCs/>
          <w:sz w:val="24"/>
          <w:highlight w:val="none"/>
        </w:rPr>
        <w:t>获证组织与方圆集团公司双方同意在一定时间内暂停全部或部分认证范围的认证资格的情况；</w:t>
      </w:r>
    </w:p>
    <w:p>
      <w:pPr>
        <w:numPr>
          <w:ilvl w:val="0"/>
          <w:numId w:val="25"/>
        </w:numPr>
        <w:spacing w:line="360" w:lineRule="auto"/>
        <w:rPr>
          <w:rFonts w:hint="eastAsia" w:ascii="宋体" w:hAnsi="宋体"/>
          <w:bCs/>
          <w:sz w:val="24"/>
          <w:highlight w:val="none"/>
        </w:rPr>
      </w:pPr>
      <w:r>
        <w:rPr>
          <w:rFonts w:hint="eastAsia" w:ascii="宋体" w:hAnsi="宋体"/>
          <w:bCs/>
          <w:sz w:val="24"/>
          <w:highlight w:val="none"/>
        </w:rPr>
        <w:t>其他需要暂停认证资格的。</w:t>
      </w:r>
    </w:p>
    <w:p>
      <w:pPr>
        <w:pStyle w:val="4"/>
        <w:ind w:left="478" w:hanging="478"/>
        <w:rPr>
          <w:rFonts w:hint="eastAsia" w:ascii="宋体" w:hAnsi="宋体" w:eastAsia="宋体"/>
          <w:b w:val="0"/>
          <w:highlight w:val="none"/>
        </w:rPr>
      </w:pPr>
      <w:r>
        <w:rPr>
          <w:rFonts w:hint="eastAsia" w:ascii="宋体" w:hAnsi="宋体" w:eastAsia="宋体"/>
          <w:b w:val="0"/>
          <w:highlight w:val="none"/>
        </w:rPr>
        <w:t>11.6.2 暂停认证资格的程序</w:t>
      </w:r>
    </w:p>
    <w:p>
      <w:pPr>
        <w:numPr>
          <w:ilvl w:val="0"/>
          <w:numId w:val="26"/>
        </w:numPr>
        <w:spacing w:line="360" w:lineRule="auto"/>
        <w:rPr>
          <w:rFonts w:hint="eastAsia" w:ascii="宋体" w:hAnsi="宋体"/>
          <w:bCs/>
          <w:sz w:val="24"/>
          <w:highlight w:val="none"/>
        </w:rPr>
      </w:pPr>
      <w:r>
        <w:rPr>
          <w:rFonts w:hint="eastAsia" w:ascii="宋体" w:hAnsi="宋体"/>
          <w:bCs/>
          <w:sz w:val="24"/>
          <w:highlight w:val="none"/>
        </w:rPr>
        <w:t>方圆集团公司认证管理部门提出对获证组织暂停全部或部分认证范围内认证资格的建议，并提供理由和证据；</w:t>
      </w:r>
    </w:p>
    <w:p>
      <w:pPr>
        <w:numPr>
          <w:ilvl w:val="0"/>
          <w:numId w:val="26"/>
        </w:numPr>
        <w:spacing w:line="360" w:lineRule="auto"/>
        <w:rPr>
          <w:rFonts w:hint="eastAsia" w:ascii="宋体" w:hAnsi="宋体"/>
          <w:bCs/>
          <w:sz w:val="24"/>
          <w:highlight w:val="none"/>
        </w:rPr>
      </w:pPr>
      <w:r>
        <w:rPr>
          <w:rFonts w:hint="eastAsia" w:ascii="宋体" w:hAnsi="宋体"/>
          <w:bCs/>
          <w:sz w:val="24"/>
          <w:highlight w:val="none"/>
        </w:rPr>
        <w:t>必要时，方圆集团公司审核管理部门与获证组织沟通，核实证据；</w:t>
      </w:r>
    </w:p>
    <w:p>
      <w:pPr>
        <w:numPr>
          <w:ilvl w:val="0"/>
          <w:numId w:val="26"/>
        </w:numPr>
        <w:spacing w:line="360" w:lineRule="auto"/>
        <w:rPr>
          <w:rFonts w:hint="eastAsia" w:ascii="宋体" w:hAnsi="宋体"/>
          <w:bCs/>
          <w:sz w:val="24"/>
          <w:highlight w:val="none"/>
        </w:rPr>
      </w:pPr>
      <w:r>
        <w:rPr>
          <w:rFonts w:hint="eastAsia" w:ascii="宋体" w:hAnsi="宋体"/>
          <w:bCs/>
          <w:sz w:val="24"/>
          <w:highlight w:val="none"/>
        </w:rPr>
        <w:t>经方圆集团公司审定，认为获证组织在认证范围内全部或部分不再持续满足认证要求，但仍然有可能在短期内采取纠正措施的，同意批准暂停全部或部分认证范围的认证资格，并确定暂停期限，最长暂停期限为六个月。</w:t>
      </w:r>
    </w:p>
    <w:p>
      <w:pPr>
        <w:pStyle w:val="3"/>
        <w:rPr>
          <w:rFonts w:hint="eastAsia" w:ascii="宋体" w:hAnsi="宋体" w:eastAsia="宋体"/>
          <w:sz w:val="24"/>
          <w:szCs w:val="24"/>
          <w:highlight w:val="none"/>
        </w:rPr>
      </w:pPr>
      <w:bookmarkStart w:id="93" w:name="_Toc85256288"/>
      <w:bookmarkStart w:id="94" w:name="_Toc85105522"/>
      <w:bookmarkStart w:id="95" w:name="_Toc85256258"/>
      <w:bookmarkStart w:id="96" w:name="_Toc85103633"/>
      <w:bookmarkStart w:id="97" w:name="_Toc522697777"/>
      <w:r>
        <w:rPr>
          <w:rFonts w:hint="eastAsia" w:ascii="宋体" w:hAnsi="宋体" w:eastAsia="宋体"/>
          <w:sz w:val="24"/>
          <w:szCs w:val="24"/>
          <w:highlight w:val="none"/>
        </w:rPr>
        <w:t>11.7 恢复认证资格的条件</w:t>
      </w:r>
      <w:bookmarkEnd w:id="93"/>
      <w:bookmarkEnd w:id="94"/>
      <w:bookmarkEnd w:id="95"/>
      <w:bookmarkEnd w:id="96"/>
      <w:r>
        <w:rPr>
          <w:rFonts w:hint="eastAsia" w:ascii="宋体" w:hAnsi="宋体" w:eastAsia="宋体"/>
          <w:sz w:val="24"/>
          <w:szCs w:val="24"/>
          <w:highlight w:val="none"/>
        </w:rPr>
        <w:t>和程序</w:t>
      </w:r>
      <w:bookmarkEnd w:id="97"/>
    </w:p>
    <w:p>
      <w:pPr>
        <w:pStyle w:val="4"/>
        <w:ind w:left="478" w:hanging="478"/>
        <w:rPr>
          <w:rFonts w:hint="eastAsia" w:ascii="宋体" w:hAnsi="宋体" w:eastAsia="宋体"/>
          <w:b w:val="0"/>
          <w:highlight w:val="none"/>
        </w:rPr>
      </w:pPr>
      <w:r>
        <w:rPr>
          <w:rFonts w:hint="eastAsia" w:ascii="宋体" w:hAnsi="宋体" w:eastAsia="宋体"/>
          <w:b w:val="0"/>
          <w:highlight w:val="none"/>
        </w:rPr>
        <w:t>11.7.1 恢复认证资格的条件</w:t>
      </w:r>
    </w:p>
    <w:bookmarkEnd w:id="60"/>
    <w:bookmarkEnd w:id="61"/>
    <w:bookmarkEnd w:id="62"/>
    <w:bookmarkEnd w:id="63"/>
    <w:bookmarkEnd w:id="64"/>
    <w:bookmarkEnd w:id="65"/>
    <w:bookmarkEnd w:id="66"/>
    <w:p>
      <w:pPr>
        <w:spacing w:line="360" w:lineRule="auto"/>
        <w:ind w:firstLine="540" w:firstLineChars="225"/>
        <w:rPr>
          <w:rFonts w:hint="eastAsia" w:ascii="宋体" w:hAnsi="宋体"/>
          <w:bCs/>
          <w:sz w:val="24"/>
          <w:highlight w:val="none"/>
        </w:rPr>
      </w:pPr>
      <w:bookmarkStart w:id="98" w:name="_Toc85105523"/>
      <w:bookmarkStart w:id="99" w:name="_Toc85256259"/>
      <w:bookmarkStart w:id="100" w:name="_Toc85256289"/>
      <w:bookmarkStart w:id="101" w:name="_Toc85103634"/>
      <w:r>
        <w:rPr>
          <w:rFonts w:hint="eastAsia" w:ascii="宋体" w:hAnsi="宋体"/>
          <w:bCs/>
          <w:sz w:val="24"/>
          <w:highlight w:val="none"/>
        </w:rPr>
        <w:t>组织已针对暂停认证资格的原因采取了有效的纠正措施，产生原因已经消除，恢复符合相关的认证要求，同时已证实在暂停期内没有使用引用认证资格，如广告宣传和使用标志。</w:t>
      </w:r>
    </w:p>
    <w:p>
      <w:pPr>
        <w:pStyle w:val="4"/>
        <w:ind w:left="478" w:hanging="478"/>
        <w:rPr>
          <w:rFonts w:hint="eastAsia" w:ascii="宋体" w:hAnsi="宋体" w:eastAsia="宋体"/>
          <w:b w:val="0"/>
          <w:highlight w:val="none"/>
        </w:rPr>
      </w:pPr>
      <w:r>
        <w:rPr>
          <w:rFonts w:hint="eastAsia" w:ascii="宋体" w:hAnsi="宋体" w:eastAsia="宋体"/>
          <w:b w:val="0"/>
          <w:highlight w:val="none"/>
        </w:rPr>
        <w:t>11.7.2 恢复认证资格的程序</w:t>
      </w:r>
    </w:p>
    <w:p>
      <w:pPr>
        <w:numPr>
          <w:ilvl w:val="0"/>
          <w:numId w:val="27"/>
        </w:numPr>
        <w:spacing w:line="360" w:lineRule="auto"/>
        <w:rPr>
          <w:rFonts w:hint="eastAsia" w:ascii="宋体" w:hAnsi="宋体"/>
          <w:bCs/>
          <w:sz w:val="24"/>
          <w:highlight w:val="none"/>
        </w:rPr>
      </w:pPr>
      <w:r>
        <w:rPr>
          <w:rFonts w:hint="eastAsia" w:ascii="宋体" w:hAnsi="宋体"/>
          <w:bCs/>
          <w:sz w:val="24"/>
          <w:highlight w:val="none"/>
        </w:rPr>
        <w:t>在确定的认证资格暂停限期结束前，根据暂停原因，组织在规定期限内向方圆集团公司认证管理部门提出恢复认证资格的申请，并附相关纠正措施和有效性验证材料；</w:t>
      </w:r>
    </w:p>
    <w:p>
      <w:pPr>
        <w:numPr>
          <w:ilvl w:val="0"/>
          <w:numId w:val="27"/>
        </w:numPr>
        <w:spacing w:line="360" w:lineRule="auto"/>
        <w:rPr>
          <w:rFonts w:hint="eastAsia" w:ascii="宋体" w:hAnsi="宋体"/>
          <w:bCs/>
          <w:sz w:val="24"/>
          <w:highlight w:val="none"/>
        </w:rPr>
      </w:pPr>
      <w:r>
        <w:rPr>
          <w:rFonts w:hint="eastAsia" w:ascii="宋体" w:hAnsi="宋体"/>
          <w:bCs/>
          <w:sz w:val="24"/>
          <w:highlight w:val="none"/>
        </w:rPr>
        <w:t>经方圆集团公司审定，确认组织在暂停认证资格的认证范围内已恢复符合相关的认证要求，作出同意恢复认证资格的审定结论</w:t>
      </w:r>
      <w:r>
        <w:rPr>
          <w:rFonts w:hint="eastAsia" w:ascii="宋体" w:hAnsi="宋体"/>
          <w:sz w:val="24"/>
          <w:highlight w:val="none"/>
        </w:rPr>
        <w:t>。</w:t>
      </w:r>
    </w:p>
    <w:bookmarkEnd w:id="98"/>
    <w:bookmarkEnd w:id="99"/>
    <w:bookmarkEnd w:id="100"/>
    <w:bookmarkEnd w:id="101"/>
    <w:p>
      <w:pPr>
        <w:pStyle w:val="3"/>
        <w:rPr>
          <w:rFonts w:hint="eastAsia" w:ascii="宋体" w:hAnsi="宋体" w:eastAsia="宋体"/>
          <w:sz w:val="24"/>
          <w:szCs w:val="24"/>
          <w:highlight w:val="none"/>
        </w:rPr>
      </w:pPr>
      <w:bookmarkStart w:id="102" w:name="_Toc85256290"/>
      <w:bookmarkStart w:id="103" w:name="_Toc85103635"/>
      <w:bookmarkStart w:id="104" w:name="_Toc85105524"/>
      <w:bookmarkStart w:id="105" w:name="_Toc85256260"/>
      <w:bookmarkStart w:id="106" w:name="_Toc522697778"/>
      <w:r>
        <w:rPr>
          <w:rFonts w:hint="eastAsia" w:ascii="宋体" w:hAnsi="宋体" w:eastAsia="宋体"/>
          <w:sz w:val="24"/>
          <w:szCs w:val="24"/>
          <w:highlight w:val="none"/>
        </w:rPr>
        <w:t>11.8 撤消认证资格的条件</w:t>
      </w:r>
      <w:bookmarkEnd w:id="102"/>
      <w:bookmarkEnd w:id="103"/>
      <w:bookmarkEnd w:id="104"/>
      <w:bookmarkEnd w:id="105"/>
      <w:r>
        <w:rPr>
          <w:rFonts w:hint="eastAsia" w:ascii="宋体" w:hAnsi="宋体" w:eastAsia="宋体"/>
          <w:sz w:val="24"/>
          <w:szCs w:val="24"/>
          <w:highlight w:val="none"/>
        </w:rPr>
        <w:t>和程序</w:t>
      </w:r>
      <w:bookmarkEnd w:id="106"/>
    </w:p>
    <w:p>
      <w:pPr>
        <w:pStyle w:val="4"/>
        <w:ind w:left="478" w:hanging="478"/>
        <w:rPr>
          <w:rFonts w:hint="eastAsia" w:ascii="宋体" w:hAnsi="宋体" w:eastAsia="宋体"/>
          <w:b w:val="0"/>
          <w:highlight w:val="none"/>
        </w:rPr>
      </w:pPr>
      <w:r>
        <w:rPr>
          <w:rFonts w:hint="eastAsia" w:ascii="宋体" w:hAnsi="宋体" w:eastAsia="宋体"/>
          <w:b w:val="0"/>
          <w:highlight w:val="none"/>
        </w:rPr>
        <w:t>11.8.1 撤消认证资格的条件</w:t>
      </w:r>
    </w:p>
    <w:p>
      <w:pPr>
        <w:numPr>
          <w:ilvl w:val="0"/>
          <w:numId w:val="28"/>
        </w:numPr>
        <w:spacing w:line="360" w:lineRule="auto"/>
        <w:rPr>
          <w:rFonts w:hint="eastAsia" w:ascii="宋体" w:hAnsi="宋体"/>
          <w:bCs/>
          <w:sz w:val="24"/>
          <w:highlight w:val="none"/>
        </w:rPr>
      </w:pPr>
      <w:r>
        <w:rPr>
          <w:rFonts w:hint="eastAsia" w:ascii="宋体" w:hAnsi="宋体"/>
          <w:bCs/>
          <w:sz w:val="24"/>
          <w:highlight w:val="none"/>
        </w:rPr>
        <w:t>获证组织的法律地位、资质不再符合国家的最新要求，或认证范围已不在现行有效的法律地位文件和资质规定的范围内，并在短期内无法符合规定要求的；</w:t>
      </w:r>
    </w:p>
    <w:p>
      <w:pPr>
        <w:numPr>
          <w:ilvl w:val="0"/>
          <w:numId w:val="28"/>
        </w:numPr>
        <w:spacing w:line="360" w:lineRule="auto"/>
        <w:rPr>
          <w:rFonts w:hint="eastAsia" w:ascii="宋体" w:hAnsi="宋体"/>
          <w:bCs/>
          <w:sz w:val="24"/>
          <w:highlight w:val="none"/>
        </w:rPr>
      </w:pPr>
      <w:r>
        <w:rPr>
          <w:rFonts w:hint="eastAsia" w:ascii="宋体" w:hAnsi="宋体"/>
          <w:bCs/>
          <w:sz w:val="24"/>
          <w:highlight w:val="none"/>
        </w:rPr>
        <w:t>获证组织在认证范围内的HSE管理体系发生重大变更，未向方圆集团公司通报，并在短期内无法满足认证要求的；</w:t>
      </w:r>
    </w:p>
    <w:p>
      <w:pPr>
        <w:numPr>
          <w:ilvl w:val="0"/>
          <w:numId w:val="28"/>
        </w:numPr>
        <w:spacing w:line="360" w:lineRule="auto"/>
        <w:rPr>
          <w:rFonts w:hint="eastAsia" w:ascii="宋体" w:hAnsi="宋体"/>
          <w:bCs/>
          <w:sz w:val="24"/>
          <w:highlight w:val="none"/>
        </w:rPr>
      </w:pPr>
      <w:r>
        <w:rPr>
          <w:rFonts w:hint="eastAsia" w:ascii="宋体" w:hAnsi="宋体"/>
          <w:bCs/>
          <w:sz w:val="24"/>
          <w:highlight w:val="none"/>
        </w:rPr>
        <w:t>获证组织体制变更后原HSE管理体系已不再适宜的；</w:t>
      </w:r>
    </w:p>
    <w:p>
      <w:pPr>
        <w:numPr>
          <w:ilvl w:val="0"/>
          <w:numId w:val="28"/>
        </w:numPr>
        <w:spacing w:line="360" w:lineRule="auto"/>
        <w:rPr>
          <w:rFonts w:hint="eastAsia" w:ascii="宋体" w:hAnsi="宋体"/>
          <w:bCs/>
          <w:sz w:val="24"/>
          <w:highlight w:val="none"/>
        </w:rPr>
      </w:pPr>
      <w:r>
        <w:rPr>
          <w:rFonts w:hint="eastAsia" w:ascii="宋体" w:hAnsi="宋体"/>
          <w:bCs/>
          <w:sz w:val="24"/>
          <w:highlight w:val="none"/>
        </w:rPr>
        <w:t>获证组织在认证范围内的组织单元、产品、服务及其过程和活动严重不能满足适用的最新法律法规的要求，并在短期内无法采取措施或采取措施无效的；</w:t>
      </w:r>
    </w:p>
    <w:p>
      <w:pPr>
        <w:numPr>
          <w:ilvl w:val="0"/>
          <w:numId w:val="28"/>
        </w:numPr>
        <w:spacing w:line="360" w:lineRule="auto"/>
        <w:rPr>
          <w:rFonts w:hint="eastAsia" w:ascii="宋体" w:hAnsi="宋体"/>
          <w:bCs/>
          <w:sz w:val="24"/>
          <w:highlight w:val="none"/>
        </w:rPr>
      </w:pPr>
      <w:r>
        <w:rPr>
          <w:rFonts w:hint="eastAsia" w:ascii="宋体" w:hAnsi="宋体"/>
          <w:bCs/>
          <w:sz w:val="24"/>
          <w:highlight w:val="none"/>
        </w:rPr>
        <w:t>获证组织于获证期间在认证范围内发生重大事故；</w:t>
      </w:r>
    </w:p>
    <w:p>
      <w:pPr>
        <w:numPr>
          <w:ilvl w:val="0"/>
          <w:numId w:val="28"/>
        </w:numPr>
        <w:spacing w:line="360" w:lineRule="auto"/>
        <w:rPr>
          <w:rFonts w:hint="eastAsia" w:ascii="宋体" w:hAnsi="宋体"/>
          <w:bCs/>
          <w:sz w:val="24"/>
          <w:highlight w:val="none"/>
        </w:rPr>
      </w:pPr>
      <w:r>
        <w:rPr>
          <w:rFonts w:hint="eastAsia" w:ascii="宋体" w:hAnsi="宋体"/>
          <w:bCs/>
          <w:sz w:val="24"/>
          <w:highlight w:val="none"/>
        </w:rPr>
        <w:t>获证组织在获证期间发生大量误用认证证书，并未能及时有效地采取纠正和纠正措施，造成严重影响的；</w:t>
      </w:r>
    </w:p>
    <w:p>
      <w:pPr>
        <w:numPr>
          <w:ilvl w:val="0"/>
          <w:numId w:val="28"/>
        </w:numPr>
        <w:spacing w:line="360" w:lineRule="auto"/>
        <w:rPr>
          <w:rFonts w:hint="eastAsia" w:ascii="宋体" w:hAnsi="宋体"/>
          <w:bCs/>
          <w:sz w:val="24"/>
          <w:highlight w:val="none"/>
        </w:rPr>
      </w:pPr>
      <w:r>
        <w:rPr>
          <w:rFonts w:hint="eastAsia" w:ascii="宋体" w:hAnsi="宋体"/>
          <w:bCs/>
          <w:sz w:val="24"/>
          <w:highlight w:val="none"/>
        </w:rPr>
        <w:t>获证组织对顾客或相关方的重大投诉不做处理的；</w:t>
      </w:r>
    </w:p>
    <w:p>
      <w:pPr>
        <w:numPr>
          <w:ilvl w:val="0"/>
          <w:numId w:val="28"/>
        </w:numPr>
        <w:spacing w:line="360" w:lineRule="auto"/>
        <w:rPr>
          <w:rFonts w:hint="eastAsia" w:ascii="宋体" w:hAnsi="宋体"/>
          <w:bCs/>
          <w:sz w:val="24"/>
          <w:highlight w:val="none"/>
        </w:rPr>
      </w:pPr>
      <w:r>
        <w:rPr>
          <w:rFonts w:hint="eastAsia" w:ascii="宋体" w:hAnsi="宋体"/>
          <w:bCs/>
          <w:sz w:val="24"/>
          <w:highlight w:val="none"/>
        </w:rPr>
        <w:t>获证组织单方面宣布不履行与方圆集团公司签署认证合同中规定的责任和义务的，或拖缴认证费用，并催缴无效的；</w:t>
      </w:r>
    </w:p>
    <w:p>
      <w:pPr>
        <w:numPr>
          <w:ilvl w:val="0"/>
          <w:numId w:val="28"/>
        </w:numPr>
        <w:spacing w:line="360" w:lineRule="auto"/>
        <w:rPr>
          <w:rFonts w:hint="eastAsia" w:ascii="宋体" w:hAnsi="宋体"/>
          <w:bCs/>
          <w:sz w:val="24"/>
          <w:highlight w:val="none"/>
        </w:rPr>
      </w:pPr>
      <w:r>
        <w:rPr>
          <w:rFonts w:hint="eastAsia" w:ascii="宋体" w:hAnsi="宋体"/>
          <w:bCs/>
          <w:sz w:val="24"/>
          <w:highlight w:val="none"/>
        </w:rPr>
        <w:t>获证组织因换发新政而撤销旧证书的；</w:t>
      </w:r>
    </w:p>
    <w:p>
      <w:pPr>
        <w:numPr>
          <w:ilvl w:val="0"/>
          <w:numId w:val="28"/>
        </w:numPr>
        <w:spacing w:line="360" w:lineRule="auto"/>
        <w:rPr>
          <w:rFonts w:hint="eastAsia" w:ascii="宋体" w:hAnsi="宋体"/>
          <w:bCs/>
          <w:sz w:val="24"/>
          <w:highlight w:val="none"/>
        </w:rPr>
      </w:pPr>
      <w:r>
        <w:rPr>
          <w:rFonts w:hint="eastAsia" w:ascii="宋体" w:hAnsi="宋体"/>
          <w:bCs/>
          <w:sz w:val="24"/>
          <w:highlight w:val="none"/>
        </w:rPr>
        <w:t>获证组织转让认证证书的；</w:t>
      </w:r>
    </w:p>
    <w:p>
      <w:pPr>
        <w:numPr>
          <w:ilvl w:val="0"/>
          <w:numId w:val="28"/>
        </w:numPr>
        <w:spacing w:line="360" w:lineRule="auto"/>
        <w:rPr>
          <w:rFonts w:hint="eastAsia" w:ascii="宋体" w:hAnsi="宋体"/>
          <w:bCs/>
          <w:sz w:val="24"/>
          <w:highlight w:val="none"/>
        </w:rPr>
      </w:pPr>
      <w:r>
        <w:rPr>
          <w:rFonts w:hint="eastAsia" w:ascii="宋体" w:hAnsi="宋体"/>
          <w:bCs/>
          <w:sz w:val="24"/>
          <w:highlight w:val="none"/>
        </w:rPr>
        <w:t>获证组织被暂停认证资格后，未能在规定的期限内采取有效的纠正措施，或未申请恢复认证资格的；</w:t>
      </w:r>
    </w:p>
    <w:p>
      <w:pPr>
        <w:numPr>
          <w:ilvl w:val="0"/>
          <w:numId w:val="28"/>
        </w:numPr>
        <w:spacing w:line="360" w:lineRule="auto"/>
        <w:rPr>
          <w:rFonts w:hint="eastAsia" w:ascii="宋体" w:hAnsi="宋体"/>
          <w:bCs/>
          <w:sz w:val="24"/>
          <w:highlight w:val="none"/>
        </w:rPr>
      </w:pPr>
      <w:r>
        <w:rPr>
          <w:rFonts w:hint="eastAsia" w:ascii="宋体" w:hAnsi="宋体"/>
          <w:bCs/>
          <w:sz w:val="24"/>
          <w:highlight w:val="none"/>
        </w:rPr>
        <w:t>获证组织自愿申请撤销认证资格的；</w:t>
      </w:r>
    </w:p>
    <w:p>
      <w:pPr>
        <w:numPr>
          <w:ilvl w:val="0"/>
          <w:numId w:val="28"/>
        </w:numPr>
        <w:spacing w:line="360" w:lineRule="auto"/>
        <w:rPr>
          <w:rFonts w:hint="eastAsia" w:ascii="宋体" w:hAnsi="宋体"/>
          <w:bCs/>
          <w:sz w:val="24"/>
          <w:highlight w:val="none"/>
        </w:rPr>
      </w:pPr>
      <w:r>
        <w:rPr>
          <w:rFonts w:hint="eastAsia" w:ascii="宋体" w:hAnsi="宋体"/>
          <w:bCs/>
          <w:sz w:val="24"/>
          <w:highlight w:val="none"/>
        </w:rPr>
        <w:t>其他需要撤销认证资格的情况。</w:t>
      </w:r>
    </w:p>
    <w:p>
      <w:pPr>
        <w:pStyle w:val="4"/>
        <w:ind w:left="478" w:hanging="478"/>
        <w:rPr>
          <w:rFonts w:hint="eastAsia" w:ascii="宋体" w:hAnsi="宋体" w:eastAsia="宋体"/>
          <w:b w:val="0"/>
          <w:highlight w:val="none"/>
        </w:rPr>
      </w:pPr>
      <w:r>
        <w:rPr>
          <w:rFonts w:hint="eastAsia" w:ascii="宋体" w:hAnsi="宋体" w:eastAsia="宋体"/>
          <w:b w:val="0"/>
          <w:highlight w:val="none"/>
        </w:rPr>
        <w:t>11.8.2 撤消认证资格的程序</w:t>
      </w:r>
    </w:p>
    <w:p>
      <w:pPr>
        <w:numPr>
          <w:ilvl w:val="0"/>
          <w:numId w:val="29"/>
        </w:numPr>
        <w:spacing w:line="360" w:lineRule="auto"/>
        <w:rPr>
          <w:rFonts w:hint="eastAsia" w:ascii="宋体" w:hAnsi="宋体"/>
          <w:bCs/>
          <w:sz w:val="24"/>
          <w:highlight w:val="none"/>
        </w:rPr>
      </w:pPr>
      <w:r>
        <w:rPr>
          <w:rFonts w:hint="eastAsia" w:ascii="宋体" w:hAnsi="宋体"/>
          <w:bCs/>
          <w:sz w:val="24"/>
          <w:highlight w:val="none"/>
        </w:rPr>
        <w:t>经方圆集团公司核实与审定，确认组织在认证范围内的管理体系不再满足认证要求，作出同意撤销认证资格的审定结论；</w:t>
      </w:r>
    </w:p>
    <w:p>
      <w:pPr>
        <w:numPr>
          <w:ilvl w:val="0"/>
          <w:numId w:val="29"/>
        </w:numPr>
        <w:spacing w:line="360" w:lineRule="auto"/>
        <w:rPr>
          <w:rFonts w:hint="eastAsia" w:ascii="宋体" w:hAnsi="宋体"/>
          <w:bCs/>
          <w:sz w:val="24"/>
          <w:highlight w:val="none"/>
        </w:rPr>
      </w:pPr>
      <w:r>
        <w:rPr>
          <w:rFonts w:hint="eastAsia" w:ascii="宋体" w:hAnsi="宋体"/>
          <w:bCs/>
          <w:sz w:val="24"/>
          <w:highlight w:val="none"/>
        </w:rPr>
        <w:t>方圆集团公司收回认证证书，通知组织不得再使用认证证书。</w:t>
      </w:r>
    </w:p>
    <w:p>
      <w:pPr>
        <w:spacing w:line="360" w:lineRule="auto"/>
        <w:ind w:left="720"/>
        <w:rPr>
          <w:rFonts w:hint="eastAsia" w:ascii="宋体" w:hAnsi="宋体"/>
          <w:bCs/>
          <w:sz w:val="24"/>
          <w:highlight w:val="none"/>
        </w:rPr>
      </w:pPr>
    </w:p>
    <w:p>
      <w:pPr>
        <w:pStyle w:val="2"/>
        <w:rPr>
          <w:highlight w:val="none"/>
        </w:rPr>
      </w:pPr>
      <w:bookmarkStart w:id="107" w:name="_Toc85256291"/>
      <w:bookmarkStart w:id="108" w:name="_Toc85103636"/>
      <w:bookmarkStart w:id="109" w:name="_Toc85256261"/>
      <w:bookmarkStart w:id="110" w:name="_Toc85105525"/>
      <w:bookmarkStart w:id="111" w:name="_Toc522697779"/>
      <w:bookmarkStart w:id="112" w:name="_Toc2582"/>
      <w:r>
        <w:rPr>
          <w:rFonts w:hint="eastAsia"/>
          <w:highlight w:val="none"/>
        </w:rPr>
        <w:t>12认证证书</w:t>
      </w:r>
      <w:bookmarkEnd w:id="107"/>
      <w:bookmarkEnd w:id="108"/>
      <w:bookmarkEnd w:id="109"/>
      <w:bookmarkEnd w:id="110"/>
      <w:r>
        <w:rPr>
          <w:rFonts w:hint="eastAsia"/>
          <w:highlight w:val="none"/>
        </w:rPr>
        <w:t>管理</w:t>
      </w:r>
      <w:bookmarkEnd w:id="111"/>
      <w:bookmarkEnd w:id="112"/>
    </w:p>
    <w:p>
      <w:pPr>
        <w:spacing w:line="360" w:lineRule="auto"/>
        <w:ind w:firstLine="480" w:firstLineChars="200"/>
        <w:rPr>
          <w:rFonts w:hint="eastAsia" w:ascii="宋体" w:hAnsi="宋体"/>
          <w:sz w:val="24"/>
          <w:highlight w:val="none"/>
        </w:rPr>
      </w:pPr>
      <w:r>
        <w:rPr>
          <w:rFonts w:hint="eastAsia" w:ascii="宋体" w:hAnsi="宋体"/>
          <w:sz w:val="24"/>
          <w:highlight w:val="none"/>
        </w:rPr>
        <w:t>HSE管理体系认证证书有效期为3年；如获证组织要求继续使用认证证书，应在证书有效期内接受</w:t>
      </w:r>
      <w:r>
        <w:rPr>
          <w:rFonts w:ascii="宋体" w:hAnsi="宋体"/>
          <w:sz w:val="24"/>
          <w:highlight w:val="none"/>
          <w:lang w:val="en-GB"/>
        </w:rPr>
        <w:t>再</w:t>
      </w:r>
      <w:r>
        <w:rPr>
          <w:rFonts w:hint="eastAsia" w:ascii="宋体" w:hAnsi="宋体"/>
          <w:sz w:val="24"/>
          <w:highlight w:val="none"/>
          <w:lang w:val="en-GB"/>
        </w:rPr>
        <w:t>认证</w:t>
      </w:r>
      <w:r>
        <w:rPr>
          <w:rFonts w:hint="eastAsia" w:ascii="宋体" w:hAnsi="宋体"/>
          <w:sz w:val="24"/>
          <w:highlight w:val="none"/>
        </w:rPr>
        <w:t>。</w:t>
      </w:r>
    </w:p>
    <w:p>
      <w:pPr>
        <w:spacing w:line="360" w:lineRule="auto"/>
        <w:ind w:firstLine="480" w:firstLineChars="200"/>
        <w:rPr>
          <w:rFonts w:hint="eastAsia" w:ascii="宋体" w:hAnsi="宋体"/>
          <w:sz w:val="24"/>
          <w:highlight w:val="none"/>
        </w:rPr>
      </w:pPr>
    </w:p>
    <w:p>
      <w:pPr>
        <w:pStyle w:val="2"/>
        <w:rPr>
          <w:highlight w:val="none"/>
        </w:rPr>
      </w:pPr>
      <w:bookmarkStart w:id="113" w:name="_Toc522697780"/>
      <w:bookmarkStart w:id="114" w:name="_Toc1749"/>
      <w:bookmarkStart w:id="115" w:name="_Toc185325643"/>
      <w:r>
        <w:rPr>
          <w:rFonts w:hint="eastAsia"/>
          <w:highlight w:val="none"/>
        </w:rPr>
        <w:t>13信息通报</w:t>
      </w:r>
      <w:bookmarkEnd w:id="113"/>
      <w:bookmarkEnd w:id="114"/>
      <w:bookmarkEnd w:id="115"/>
    </w:p>
    <w:p>
      <w:pPr>
        <w:spacing w:line="360" w:lineRule="auto"/>
        <w:ind w:firstLine="480" w:firstLineChars="200"/>
        <w:rPr>
          <w:rFonts w:hint="eastAsia" w:ascii="宋体" w:hAnsi="宋体"/>
          <w:sz w:val="24"/>
          <w:highlight w:val="none"/>
        </w:rPr>
      </w:pPr>
      <w:r>
        <w:rPr>
          <w:rFonts w:hint="eastAsia" w:ascii="宋体" w:hAnsi="宋体"/>
          <w:sz w:val="24"/>
          <w:highlight w:val="none"/>
        </w:rPr>
        <w:t>获证组织应建立向方圆集团公司通报最新信息的程序，并及时通报顾客的重大投诉、强制性HSE审计的结果及组织变更的各种信息等。</w:t>
      </w:r>
    </w:p>
    <w:p>
      <w:pPr>
        <w:spacing w:line="360" w:lineRule="auto"/>
        <w:ind w:firstLine="480" w:firstLineChars="200"/>
        <w:rPr>
          <w:rFonts w:hint="eastAsia" w:ascii="宋体" w:hAnsi="宋体"/>
          <w:sz w:val="24"/>
          <w:highlight w:val="none"/>
        </w:rPr>
      </w:pPr>
      <w:r>
        <w:rPr>
          <w:rFonts w:hint="eastAsia" w:ascii="宋体" w:hAnsi="宋体"/>
          <w:sz w:val="24"/>
          <w:highlight w:val="none"/>
        </w:rPr>
        <w:t>变更信息包括（但不限于）以下：法律地位、经营状况、组织状态或所有权；组织和管理层（如关键的管理、决策或技术人员）；联系地址和场所；获证管理体系覆盖的运作范围；HSE管理体系和重要过程的重大变更。</w:t>
      </w:r>
    </w:p>
    <w:p>
      <w:pPr>
        <w:spacing w:line="360" w:lineRule="auto"/>
        <w:ind w:firstLine="480" w:firstLineChars="200"/>
        <w:rPr>
          <w:rFonts w:hint="eastAsia" w:ascii="宋体" w:hAnsi="宋体"/>
          <w:sz w:val="24"/>
          <w:highlight w:val="none"/>
        </w:rPr>
      </w:pPr>
    </w:p>
    <w:p>
      <w:pPr>
        <w:pStyle w:val="2"/>
        <w:rPr>
          <w:highlight w:val="none"/>
        </w:rPr>
      </w:pPr>
      <w:bookmarkStart w:id="116" w:name="_Toc185325644"/>
      <w:bookmarkStart w:id="117" w:name="_Toc31444"/>
      <w:bookmarkStart w:id="118" w:name="_Toc522697781"/>
      <w:r>
        <w:rPr>
          <w:rFonts w:hint="eastAsia"/>
          <w:highlight w:val="none"/>
        </w:rPr>
        <w:t>14 认证要求变更</w:t>
      </w:r>
      <w:bookmarkEnd w:id="116"/>
      <w:bookmarkEnd w:id="117"/>
      <w:bookmarkEnd w:id="118"/>
    </w:p>
    <w:p>
      <w:pPr>
        <w:tabs>
          <w:tab w:val="left" w:pos="1597"/>
        </w:tabs>
        <w:spacing w:line="360" w:lineRule="auto"/>
        <w:ind w:firstLine="480" w:firstLineChars="200"/>
        <w:rPr>
          <w:rFonts w:hint="eastAsia" w:ascii="宋体" w:hAnsi="宋体"/>
          <w:sz w:val="24"/>
          <w:highlight w:val="none"/>
        </w:rPr>
      </w:pPr>
      <w:r>
        <w:rPr>
          <w:rFonts w:hint="eastAsia" w:ascii="宋体" w:hAnsi="宋体"/>
          <w:sz w:val="24"/>
          <w:highlight w:val="none"/>
        </w:rPr>
        <w:t>认证要求变更时，方圆集团公司及时将认证要求变更的文件发给所有相关的获证组织。</w:t>
      </w:r>
    </w:p>
    <w:p>
      <w:pPr>
        <w:tabs>
          <w:tab w:val="left" w:pos="1080"/>
        </w:tabs>
        <w:spacing w:line="360" w:lineRule="auto"/>
        <w:ind w:firstLine="480" w:firstLineChars="200"/>
        <w:rPr>
          <w:rFonts w:hint="eastAsia" w:ascii="宋体" w:hAnsi="宋体"/>
          <w:sz w:val="24"/>
          <w:highlight w:val="none"/>
        </w:rPr>
      </w:pPr>
      <w:r>
        <w:rPr>
          <w:rFonts w:hint="eastAsia" w:ascii="宋体" w:hAnsi="宋体"/>
          <w:sz w:val="24"/>
          <w:highlight w:val="none"/>
        </w:rPr>
        <w:t>方圆集团公司根据认证要求变更的性质和内容，采取适当方式对获证组织实施变更后的认证要求有效性的验证，如文件审查、现场补充审核。</w:t>
      </w:r>
    </w:p>
    <w:p>
      <w:pPr>
        <w:spacing w:line="360" w:lineRule="auto"/>
        <w:ind w:firstLine="480"/>
        <w:rPr>
          <w:rFonts w:hint="eastAsia" w:ascii="宋体" w:hAnsi="宋体"/>
          <w:sz w:val="24"/>
          <w:highlight w:val="none"/>
        </w:rPr>
      </w:pPr>
      <w:r>
        <w:rPr>
          <w:rFonts w:hint="eastAsia" w:ascii="宋体" w:hAnsi="宋体"/>
          <w:sz w:val="24"/>
          <w:highlight w:val="none"/>
        </w:rPr>
        <w:t>方圆集团公司最终根据以上步骤确认认证要求变更后获证组织的证书有效性。</w:t>
      </w:r>
    </w:p>
    <w:p>
      <w:pPr>
        <w:spacing w:line="360" w:lineRule="auto"/>
        <w:ind w:firstLine="480"/>
        <w:rPr>
          <w:rFonts w:hint="eastAsia" w:ascii="宋体" w:hAnsi="宋体"/>
          <w:sz w:val="24"/>
          <w:highlight w:val="none"/>
        </w:rPr>
      </w:pPr>
    </w:p>
    <w:p>
      <w:pPr>
        <w:pStyle w:val="2"/>
        <w:rPr>
          <w:highlight w:val="none"/>
        </w:rPr>
      </w:pPr>
      <w:bookmarkStart w:id="119" w:name="_Toc522697782"/>
      <w:bookmarkStart w:id="120" w:name="_Toc185325645"/>
      <w:bookmarkStart w:id="121" w:name="_Toc3096"/>
      <w:r>
        <w:rPr>
          <w:rFonts w:hint="eastAsia"/>
          <w:highlight w:val="none"/>
        </w:rPr>
        <w:t>15 保密</w:t>
      </w:r>
      <w:bookmarkEnd w:id="119"/>
      <w:bookmarkEnd w:id="120"/>
      <w:bookmarkEnd w:id="121"/>
    </w:p>
    <w:p>
      <w:pPr>
        <w:spacing w:line="360" w:lineRule="auto"/>
        <w:ind w:firstLine="480" w:firstLineChars="200"/>
        <w:rPr>
          <w:rFonts w:hint="eastAsia" w:ascii="宋体" w:hAnsi="宋体"/>
          <w:sz w:val="24"/>
          <w:highlight w:val="none"/>
        </w:rPr>
      </w:pPr>
      <w:r>
        <w:rPr>
          <w:rFonts w:hint="eastAsia" w:ascii="宋体" w:hAnsi="宋体"/>
          <w:sz w:val="24"/>
          <w:highlight w:val="none"/>
        </w:rPr>
        <w:t>方圆集团公司承诺为认证客户保密（提前告知认证客户的需公开信息除外）。对认证客户的保密信息如需公开或向第三方提供时，应将拟提供的信息提前通知认证客户（法律限制除外）。</w:t>
      </w:r>
    </w:p>
    <w:p>
      <w:pPr>
        <w:spacing w:line="360" w:lineRule="auto"/>
        <w:ind w:firstLine="480"/>
        <w:rPr>
          <w:rFonts w:hint="eastAsia" w:ascii="宋体" w:hAnsi="宋体"/>
          <w:sz w:val="24"/>
          <w:highlight w:val="none"/>
        </w:rPr>
      </w:pPr>
      <w:r>
        <w:rPr>
          <w:rFonts w:hint="eastAsia" w:ascii="宋体" w:hAnsi="宋体"/>
          <w:sz w:val="24"/>
          <w:highlight w:val="none"/>
        </w:rPr>
        <w:t>如有证据表明，方圆集团公司因对于接触到受审核方的商业、技术秘密，应泄露给第三者（法律规定除外）的，将承担相应法律责任。</w:t>
      </w:r>
    </w:p>
    <w:p>
      <w:pPr>
        <w:spacing w:line="360" w:lineRule="auto"/>
        <w:ind w:firstLine="480"/>
        <w:rPr>
          <w:rFonts w:hint="eastAsia" w:ascii="宋体" w:hAnsi="宋体"/>
          <w:sz w:val="24"/>
          <w:highlight w:val="none"/>
        </w:rPr>
      </w:pPr>
    </w:p>
    <w:p>
      <w:pPr>
        <w:pStyle w:val="2"/>
        <w:rPr>
          <w:highlight w:val="none"/>
        </w:rPr>
      </w:pPr>
      <w:bookmarkStart w:id="122" w:name="_Toc522697783"/>
      <w:bookmarkStart w:id="123" w:name="_Toc19639"/>
      <w:bookmarkStart w:id="124" w:name="_Toc185325646"/>
      <w:r>
        <w:rPr>
          <w:rFonts w:hint="eastAsia"/>
          <w:highlight w:val="none"/>
        </w:rPr>
        <w:t>16、申诉/投诉、争议及处理</w:t>
      </w:r>
      <w:bookmarkEnd w:id="122"/>
      <w:bookmarkEnd w:id="123"/>
      <w:bookmarkEnd w:id="124"/>
    </w:p>
    <w:p>
      <w:pPr>
        <w:pStyle w:val="15"/>
        <w:spacing w:after="0" w:line="360" w:lineRule="auto"/>
        <w:ind w:left="0" w:leftChars="0" w:firstLine="420" w:firstLineChars="175"/>
        <w:rPr>
          <w:sz w:val="24"/>
          <w:szCs w:val="24"/>
          <w:highlight w:val="none"/>
        </w:rPr>
      </w:pPr>
      <w:r>
        <w:rPr>
          <w:rFonts w:hint="eastAsia"/>
          <w:sz w:val="24"/>
          <w:szCs w:val="24"/>
          <w:highlight w:val="none"/>
        </w:rPr>
        <w:t>对</w:t>
      </w:r>
      <w:r>
        <w:rPr>
          <w:rFonts w:hint="eastAsia" w:ascii="宋体" w:hAnsi="宋体"/>
          <w:sz w:val="24"/>
          <w:highlight w:val="none"/>
        </w:rPr>
        <w:t>CQM</w:t>
      </w:r>
      <w:r>
        <w:rPr>
          <w:rFonts w:hint="eastAsia"/>
          <w:sz w:val="24"/>
          <w:szCs w:val="24"/>
          <w:highlight w:val="none"/>
        </w:rPr>
        <w:t>或审核人员违反国家认证法律、法规、认可机构有关规定、缺乏公正性及对认证的评价结果等有异议时，可以向</w:t>
      </w:r>
      <w:r>
        <w:rPr>
          <w:rFonts w:hint="eastAsia" w:ascii="宋体" w:hAnsi="宋体"/>
          <w:sz w:val="24"/>
          <w:highlight w:val="none"/>
        </w:rPr>
        <w:t>CQM</w:t>
      </w:r>
      <w:r>
        <w:rPr>
          <w:rFonts w:hint="eastAsia"/>
          <w:sz w:val="24"/>
          <w:szCs w:val="24"/>
          <w:highlight w:val="none"/>
        </w:rPr>
        <w:t>提出申诉、投诉。</w:t>
      </w:r>
    </w:p>
    <w:p>
      <w:pPr>
        <w:spacing w:line="360" w:lineRule="auto"/>
        <w:ind w:firstLine="480" w:firstLineChars="200"/>
        <w:rPr>
          <w:rFonts w:ascii="宋体"/>
          <w:bCs/>
          <w:sz w:val="24"/>
          <w:highlight w:val="none"/>
        </w:rPr>
      </w:pPr>
      <w:r>
        <w:rPr>
          <w:rFonts w:hint="eastAsia" w:ascii="宋体"/>
          <w:bCs/>
          <w:sz w:val="24"/>
          <w:highlight w:val="none"/>
        </w:rPr>
        <w:t>CQM将在30日内答复处理情况。</w:t>
      </w:r>
    </w:p>
    <w:p>
      <w:pPr>
        <w:spacing w:line="360" w:lineRule="auto"/>
        <w:ind w:firstLine="480" w:firstLineChars="200"/>
        <w:rPr>
          <w:rFonts w:ascii="宋体"/>
          <w:bCs/>
          <w:sz w:val="24"/>
          <w:highlight w:val="none"/>
        </w:rPr>
      </w:pPr>
      <w:r>
        <w:rPr>
          <w:rFonts w:hint="eastAsia" w:ascii="宋体"/>
          <w:bCs/>
          <w:sz w:val="24"/>
          <w:highlight w:val="none"/>
        </w:rPr>
        <w:t>对CQM申诉/投诉和争议的处理有异议时可向中国国家认证认可监督管理委员会等有关部门进一步申诉/投诉。</w:t>
      </w:r>
    </w:p>
    <w:p>
      <w:pPr>
        <w:spacing w:line="360" w:lineRule="auto"/>
        <w:ind w:firstLine="480" w:firstLineChars="200"/>
        <w:rPr>
          <w:rFonts w:hint="eastAsia" w:ascii="宋体" w:hAnsi="宋体"/>
          <w:bCs/>
          <w:sz w:val="24"/>
          <w:highlight w:val="none"/>
        </w:rPr>
      </w:pPr>
    </w:p>
    <w:p>
      <w:pPr>
        <w:pStyle w:val="2"/>
        <w:rPr>
          <w:highlight w:val="none"/>
        </w:rPr>
      </w:pPr>
      <w:bookmarkStart w:id="125" w:name="_Toc522697784"/>
      <w:bookmarkStart w:id="126" w:name="_Toc185325647"/>
      <w:bookmarkStart w:id="127" w:name="_Toc14599"/>
      <w:r>
        <w:rPr>
          <w:rFonts w:hint="eastAsia"/>
          <w:highlight w:val="none"/>
        </w:rPr>
        <w:t xml:space="preserve">17 </w:t>
      </w:r>
      <w:bookmarkEnd w:id="125"/>
      <w:bookmarkEnd w:id="126"/>
      <w:r>
        <w:rPr>
          <w:rFonts w:hint="eastAsia"/>
          <w:highlight w:val="none"/>
        </w:rPr>
        <w:t>费用</w:t>
      </w:r>
      <w:bookmarkEnd w:id="127"/>
    </w:p>
    <w:p>
      <w:pPr>
        <w:spacing w:line="360" w:lineRule="auto"/>
        <w:ind w:firstLine="480" w:firstLineChars="200"/>
        <w:rPr>
          <w:rFonts w:hint="eastAsia" w:ascii="宋体" w:hAnsi="宋体"/>
          <w:sz w:val="24"/>
          <w:highlight w:val="none"/>
        </w:rPr>
      </w:pPr>
      <w:r>
        <w:rPr>
          <w:rFonts w:hint="eastAsia" w:ascii="宋体" w:hAnsi="宋体"/>
          <w:sz w:val="24"/>
          <w:highlight w:val="none"/>
        </w:rPr>
        <w:t>实施本方案的费用，按CQM《管理体系认证收费管理规则》执行。</w:t>
      </w:r>
    </w:p>
    <w:p>
      <w:pPr>
        <w:pStyle w:val="2"/>
        <w:rPr>
          <w:highlight w:val="none"/>
        </w:rPr>
      </w:pPr>
      <w:bookmarkStart w:id="128" w:name="_Toc85103652"/>
      <w:bookmarkStart w:id="129" w:name="_Toc85105542"/>
      <w:bookmarkStart w:id="130" w:name="_Toc1858"/>
      <w:bookmarkStart w:id="131" w:name="_Toc444776357"/>
      <w:bookmarkStart w:id="132" w:name="_Toc85256275"/>
      <w:r>
        <w:rPr>
          <w:rFonts w:hint="eastAsia"/>
          <w:highlight w:val="none"/>
        </w:rPr>
        <w:t>18 公告</w:t>
      </w:r>
      <w:bookmarkEnd w:id="128"/>
      <w:bookmarkEnd w:id="129"/>
      <w:bookmarkEnd w:id="130"/>
      <w:bookmarkEnd w:id="131"/>
      <w:bookmarkEnd w:id="132"/>
    </w:p>
    <w:p>
      <w:pPr>
        <w:spacing w:line="360" w:lineRule="auto"/>
        <w:ind w:firstLine="480"/>
        <w:rPr>
          <w:rFonts w:hint="eastAsia" w:ascii="宋体" w:hAnsi="宋体"/>
          <w:sz w:val="24"/>
          <w:highlight w:val="none"/>
        </w:rPr>
      </w:pPr>
      <w:r>
        <w:rPr>
          <w:rFonts w:hint="eastAsia" w:ascii="宋体" w:hAnsi="宋体"/>
          <w:sz w:val="24"/>
          <w:highlight w:val="none"/>
        </w:rPr>
        <w:t>对获得认证、暂停、恢复或撤销的认证客户，在CQM网站上公布。</w:t>
      </w:r>
    </w:p>
    <w:p>
      <w:pPr>
        <w:spacing w:line="360" w:lineRule="auto"/>
        <w:ind w:firstLine="480"/>
        <w:rPr>
          <w:rFonts w:hint="eastAsia" w:ascii="宋体" w:hAnsi="宋体"/>
          <w:sz w:val="24"/>
          <w:highlight w:val="none"/>
        </w:rPr>
      </w:pPr>
    </w:p>
    <w:p>
      <w:pPr>
        <w:pStyle w:val="2"/>
        <w:rPr>
          <w:highlight w:val="none"/>
        </w:rPr>
      </w:pPr>
      <w:bookmarkStart w:id="133" w:name="_Toc18937"/>
      <w:bookmarkStart w:id="134" w:name="_Toc185325649"/>
      <w:bookmarkStart w:id="135" w:name="_Toc522697785"/>
      <w:r>
        <w:rPr>
          <w:rFonts w:hint="eastAsia"/>
          <w:highlight w:val="none"/>
        </w:rPr>
        <w:t>19 附则</w:t>
      </w:r>
      <w:bookmarkEnd w:id="133"/>
      <w:bookmarkEnd w:id="134"/>
      <w:bookmarkEnd w:id="135"/>
    </w:p>
    <w:p>
      <w:pPr>
        <w:spacing w:line="360" w:lineRule="auto"/>
        <w:ind w:firstLine="480" w:firstLineChars="200"/>
        <w:rPr>
          <w:rFonts w:hint="eastAsia" w:ascii="黑体" w:hAnsi="宋体" w:eastAsia="黑体"/>
          <w:szCs w:val="21"/>
          <w:highlight w:val="none"/>
        </w:rPr>
      </w:pPr>
      <w:r>
        <w:rPr>
          <w:rFonts w:hint="eastAsia" w:ascii="宋体" w:hAnsi="宋体"/>
          <w:sz w:val="24"/>
          <w:highlight w:val="none"/>
        </w:rPr>
        <w:t>本方案由方圆标志认证集团有限公司负责解释。</w:t>
      </w:r>
    </w:p>
    <w:bookmarkEnd w:id="136"/>
    <w:sectPr>
      <w:footerReference r:id="rId9" w:type="first"/>
      <w:footerReference r:id="rId8" w:type="default"/>
      <w:pgSz w:w="11906" w:h="16838"/>
      <w:pgMar w:top="856" w:right="1797" w:bottom="1440" w:left="1797" w:header="159" w:footer="0" w:gutter="0"/>
      <w:pgNumType w:start="1"/>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swiss"/>
    <w:pitch w:val="default"/>
    <w:sig w:usb0="00007A87" w:usb1="80000000" w:usb2="00000008" w:usb3="00000000" w:csb0="400001FF" w:csb1="FFFF0000"/>
  </w:font>
  <w:font w:name="宋体">
    <w:panose1 w:val="02010600030101010101"/>
    <w:charset w:val="81"/>
    <w:family w:val="roman"/>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altName w:val="Times New Roman"/>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altName w:val="DejaVu Sans"/>
    <w:panose1 w:val="02070309020205020404"/>
    <w:charset w:val="01"/>
    <w:family w:val="modern"/>
    <w:pitch w:val="default"/>
    <w:sig w:usb0="E0002AFF" w:usb1="C0007843" w:usb2="00000009" w:usb3="00000000" w:csb0="400001FF" w:csb1="FFFF0000"/>
  </w:font>
  <w:font w:name="Symbol">
    <w:panose1 w:val="02000609000000000000"/>
    <w:charset w:val="02"/>
    <w:family w:val="roman"/>
    <w:pitch w:val="default"/>
    <w:sig w:usb0="800000AF" w:usb1="4000204A" w:usb2="00000000" w:usb3="00000000" w:csb0="20000000" w:csb1="00000000"/>
  </w:font>
  <w:font w:name="Calibri">
    <w:altName w:val="DejaVu Sans"/>
    <w:panose1 w:val="020F0502020204030204"/>
    <w:charset w:val="00"/>
    <w:family w:val="swiss"/>
    <w:pitch w:val="default"/>
    <w:sig w:usb0="00000000" w:usb1="00000000" w:usb2="00000001" w:usb3="00000000" w:csb0="0000019F" w:csb1="00000000"/>
  </w:font>
  <w:font w:name="Cambria">
    <w:altName w:val="Noto Sans Syriac Eastern"/>
    <w:panose1 w:val="02040503050406030204"/>
    <w:charset w:val="00"/>
    <w:family w:val="roman"/>
    <w:pitch w:val="default"/>
    <w:sig w:usb0="00000000" w:usb1="00000000" w:usb2="02000000" w:usb3="00000000" w:csb0="2000019F" w:csb1="00000000"/>
  </w:font>
  <w:font w:name="..">
    <w:altName w:val="黑体"/>
    <w:panose1 w:val="00000000000000000000"/>
    <w:charset w:val="86"/>
    <w:family w:val="auto"/>
    <w:pitch w:val="default"/>
    <w:sig w:usb0="00000000" w:usb1="00000000" w:usb2="00000010" w:usb3="00000000" w:csb0="00040000" w:csb1="00000000"/>
  </w:font>
  <w:font w:name="隶书">
    <w:altName w:val="宋体"/>
    <w:panose1 w:val="02010509060101010101"/>
    <w:charset w:val="86"/>
    <w:family w:val="modern"/>
    <w:pitch w:val="default"/>
    <w:sig w:usb0="00000000" w:usb1="00000000" w:usb2="00000000" w:usb3="00000000" w:csb0="00040000" w:csb1="00000000"/>
  </w:font>
  <w:font w:name="思源黑体 CN Medium">
    <w:altName w:val="黑体"/>
    <w:panose1 w:val="020B0600000000000000"/>
    <w:charset w:val="86"/>
    <w:family w:val="swiss"/>
    <w:pitch w:val="default"/>
    <w:sig w:usb0="00000000" w:usb1="00000000" w:usb2="00000016" w:usb3="00000000" w:csb0="00060107" w:csb1="00000000"/>
  </w:font>
  <w:font w:name="方正姚体">
    <w:altName w:val="方正姚体_GBK"/>
    <w:panose1 w:val="02010601030101010101"/>
    <w:charset w:val="86"/>
    <w:family w:val="auto"/>
    <w:pitch w:val="default"/>
    <w:sig w:usb0="00000000" w:usb1="00000000" w:usb2="00000000" w:usb3="00000000" w:csb0="00040000" w:csb1="00000000"/>
  </w:font>
  <w:font w:name="DejaVu Sans">
    <w:panose1 w:val="020B0603030804020204"/>
    <w:charset w:val="00"/>
    <w:family w:val="auto"/>
    <w:pitch w:val="default"/>
    <w:sig w:usb0="E7006EFF" w:usb1="D200FDFF" w:usb2="0A246029" w:usb3="0400200C" w:csb0="600001FF" w:csb1="DFFF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tbl>
    <w:tblPr>
      <w:tblStyle w:val="19"/>
      <w:tblW w:w="9180" w:type="dxa"/>
      <w:tblInd w:w="-252" w:type="dxa"/>
      <w:tblLayout w:type="fixed"/>
      <w:tblCellMar>
        <w:top w:w="0" w:type="dxa"/>
        <w:left w:w="108" w:type="dxa"/>
        <w:bottom w:w="0" w:type="dxa"/>
        <w:right w:w="108" w:type="dxa"/>
      </w:tblCellMar>
    </w:tblPr>
    <w:tblGrid>
      <w:gridCol w:w="1050"/>
      <w:gridCol w:w="4530"/>
      <w:gridCol w:w="1620"/>
      <w:gridCol w:w="1980"/>
    </w:tblGrid>
    <w:tr>
      <w:tblPrEx>
        <w:tblCellMar>
          <w:top w:w="0" w:type="dxa"/>
          <w:left w:w="108" w:type="dxa"/>
          <w:bottom w:w="0" w:type="dxa"/>
          <w:right w:w="108" w:type="dxa"/>
        </w:tblCellMar>
      </w:tblPrEx>
      <w:trPr>
        <w:trHeight w:val="1326" w:hRule="atLeast"/>
      </w:trPr>
      <w:tc>
        <w:tcPr>
          <w:tcW w:w="1050" w:type="dxa"/>
          <w:tcBorders>
            <w:top w:val="thinThickSmallGap" w:color="002071" w:sz="18" w:space="0"/>
            <w:left w:val="nil"/>
            <w:bottom w:val="nil"/>
            <w:right w:val="nil"/>
          </w:tcBorders>
        </w:tcPr>
        <w:p>
          <w:pPr>
            <w:pStyle w:val="12"/>
            <w:ind w:left="-108"/>
            <w:jc w:val="both"/>
            <w:rPr>
              <w:sz w:val="13"/>
            </w:rPr>
          </w:pPr>
        </w:p>
        <w:p>
          <w:pPr>
            <w:pStyle w:val="12"/>
            <w:ind w:left="-108"/>
            <w:jc w:val="both"/>
          </w:pPr>
          <w:r>
            <w:rPr>
              <w:rFonts w:hint="eastAsia"/>
            </w:rPr>
            <w:t>通讯地址：</w:t>
          </w:r>
        </w:p>
        <w:p>
          <w:pPr>
            <w:pStyle w:val="12"/>
            <w:ind w:left="-108"/>
            <w:jc w:val="both"/>
          </w:pPr>
          <w:r>
            <w:rPr>
              <w:rFonts w:hint="eastAsia"/>
            </w:rPr>
            <w:t>电话：</w:t>
          </w:r>
        </w:p>
        <w:p>
          <w:pPr>
            <w:pStyle w:val="12"/>
            <w:ind w:left="-108"/>
            <w:jc w:val="both"/>
          </w:pPr>
          <w:r>
            <w:rPr>
              <w:rFonts w:hint="eastAsia"/>
            </w:rPr>
            <w:t>传真：</w:t>
          </w:r>
        </w:p>
        <w:p>
          <w:pPr>
            <w:pStyle w:val="12"/>
            <w:ind w:left="-108"/>
            <w:jc w:val="both"/>
          </w:pPr>
          <w:r>
            <w:rPr>
              <w:rFonts w:hint="eastAsia"/>
            </w:rPr>
            <w:t>网址：</w:t>
          </w:r>
        </w:p>
        <w:p>
          <w:pPr>
            <w:pStyle w:val="12"/>
            <w:ind w:left="-108"/>
            <w:jc w:val="both"/>
          </w:pPr>
          <w:r>
            <w:rPr>
              <w:rFonts w:hint="eastAsia"/>
              <w:spacing w:val="24"/>
              <w:sz w:val="21"/>
            </w:rPr>
            <w:t>E-mail</w:t>
          </w:r>
          <w:r>
            <w:rPr>
              <w:rFonts w:hint="eastAsia"/>
              <w:spacing w:val="20"/>
              <w:lang w:val="en-GB"/>
            </w:rPr>
            <w:t>：</w:t>
          </w:r>
        </w:p>
      </w:tc>
      <w:tc>
        <w:tcPr>
          <w:tcW w:w="4530" w:type="dxa"/>
          <w:tcBorders>
            <w:top w:val="thinThickSmallGap" w:color="002071" w:sz="18" w:space="0"/>
            <w:left w:val="nil"/>
            <w:bottom w:val="nil"/>
            <w:right w:val="nil"/>
          </w:tcBorders>
        </w:tcPr>
        <w:p>
          <w:pPr>
            <w:pStyle w:val="12"/>
            <w:ind w:left="-108"/>
            <w:jc w:val="both"/>
            <w:rPr>
              <w:sz w:val="13"/>
            </w:rPr>
          </w:pPr>
        </w:p>
        <w:p>
          <w:pPr>
            <w:pStyle w:val="12"/>
            <w:ind w:left="-108"/>
            <w:jc w:val="both"/>
          </w:pPr>
          <w:r>
            <w:rPr>
              <w:rFonts w:hint="eastAsia"/>
            </w:rPr>
            <w:t>北京市海淀区增光路33号</w:t>
          </w:r>
          <w:r>
            <w:t>(</w:t>
          </w:r>
          <w:r>
            <w:rPr>
              <w:rFonts w:hint="eastAsia"/>
            </w:rPr>
            <w:t>100048</w:t>
          </w:r>
          <w:r>
            <w:t>)</w:t>
          </w:r>
        </w:p>
        <w:p>
          <w:pPr>
            <w:pStyle w:val="12"/>
            <w:ind w:left="-108"/>
            <w:jc w:val="both"/>
          </w:pPr>
          <w:r>
            <w:rPr>
              <w:rFonts w:hint="eastAsia"/>
            </w:rPr>
            <w:t>（010）88411888（总机）</w:t>
          </w:r>
        </w:p>
        <w:p>
          <w:pPr>
            <w:pStyle w:val="12"/>
            <w:ind w:left="-108"/>
            <w:jc w:val="both"/>
          </w:pPr>
          <w:r>
            <w:rPr>
              <w:rFonts w:hint="eastAsia"/>
            </w:rPr>
            <w:t>（010）88414325</w:t>
          </w:r>
        </w:p>
        <w:p>
          <w:pPr>
            <w:pStyle w:val="12"/>
            <w:jc w:val="both"/>
          </w:pPr>
          <w:r>
            <w:t>http://</w:t>
          </w:r>
          <w:r>
            <w:rPr>
              <w:rFonts w:hint="eastAsia"/>
            </w:rPr>
            <w:t>www.</w:t>
          </w:r>
          <w:r>
            <w:t>cqm.</w:t>
          </w:r>
          <w:r>
            <w:rPr>
              <w:rFonts w:hint="eastAsia"/>
            </w:rPr>
            <w:t>com.</w:t>
          </w:r>
          <w:r>
            <w:t>cn/</w:t>
          </w:r>
        </w:p>
        <w:p>
          <w:pPr>
            <w:pStyle w:val="12"/>
            <w:jc w:val="both"/>
          </w:pPr>
          <w:r>
            <w:t>cqm@cqm.com.cn</w:t>
          </w:r>
        </w:p>
      </w:tc>
      <w:tc>
        <w:tcPr>
          <w:tcW w:w="1620" w:type="dxa"/>
          <w:tcBorders>
            <w:top w:val="thinThickSmallGap" w:color="002071" w:sz="18" w:space="0"/>
            <w:left w:val="nil"/>
            <w:bottom w:val="nil"/>
            <w:right w:val="nil"/>
          </w:tcBorders>
        </w:tcPr>
        <w:p>
          <w:pPr>
            <w:pStyle w:val="12"/>
            <w:jc w:val="both"/>
          </w:pPr>
        </w:p>
        <w:p>
          <w:pPr>
            <w:pStyle w:val="12"/>
            <w:jc w:val="both"/>
          </w:pPr>
          <w:r>
            <w:rPr>
              <w:rFonts w:hint="eastAsia"/>
            </w:rPr>
            <w:t xml:space="preserve">文件编号： </w:t>
          </w:r>
        </w:p>
        <w:p>
          <w:pPr>
            <w:pStyle w:val="12"/>
            <w:jc w:val="both"/>
          </w:pPr>
          <w:r>
            <w:rPr>
              <w:rFonts w:hint="eastAsia"/>
            </w:rPr>
            <w:t xml:space="preserve">发布日期： </w:t>
          </w:r>
        </w:p>
        <w:p>
          <w:pPr>
            <w:widowControl/>
            <w:jc w:val="left"/>
            <w:rPr>
              <w:sz w:val="18"/>
              <w:szCs w:val="18"/>
            </w:rPr>
          </w:pPr>
          <w:r>
            <w:rPr>
              <w:rFonts w:hint="eastAsia"/>
              <w:sz w:val="18"/>
              <w:szCs w:val="18"/>
            </w:rPr>
            <w:t>修订日期：</w:t>
          </w:r>
        </w:p>
        <w:p>
          <w:pPr>
            <w:widowControl/>
            <w:jc w:val="left"/>
            <w:rPr>
              <w:sz w:val="18"/>
              <w:szCs w:val="18"/>
            </w:rPr>
          </w:pPr>
          <w:r>
            <w:rPr>
              <w:rFonts w:hint="eastAsia"/>
              <w:sz w:val="18"/>
              <w:szCs w:val="18"/>
            </w:rPr>
            <w:t>实施日期：</w:t>
          </w:r>
        </w:p>
        <w:p>
          <w:pPr>
            <w:widowControl/>
            <w:jc w:val="left"/>
            <w:rPr>
              <w:sz w:val="18"/>
              <w:szCs w:val="18"/>
            </w:rPr>
          </w:pPr>
          <w:r>
            <w:rPr>
              <w:rFonts w:hint="eastAsia"/>
              <w:sz w:val="18"/>
              <w:szCs w:val="18"/>
            </w:rPr>
            <w:t>页数：</w:t>
          </w:r>
        </w:p>
      </w:tc>
      <w:tc>
        <w:tcPr>
          <w:tcW w:w="1980" w:type="dxa"/>
          <w:tcBorders>
            <w:top w:val="thinThickSmallGap" w:color="002071" w:sz="18" w:space="0"/>
            <w:left w:val="nil"/>
            <w:bottom w:val="nil"/>
            <w:right w:val="nil"/>
          </w:tcBorders>
        </w:tcPr>
        <w:p>
          <w:pPr>
            <w:pStyle w:val="12"/>
            <w:jc w:val="both"/>
          </w:pPr>
        </w:p>
        <w:p>
          <w:pPr>
            <w:pStyle w:val="12"/>
            <w:jc w:val="both"/>
          </w:pPr>
          <w:r>
            <w:t>CQM/S-</w:t>
          </w:r>
          <w:r>
            <w:rPr>
              <w:rFonts w:hint="eastAsia"/>
            </w:rPr>
            <w:t>FN-00-001</w:t>
          </w:r>
        </w:p>
        <w:p>
          <w:pPr>
            <w:pStyle w:val="12"/>
            <w:jc w:val="both"/>
          </w:pPr>
          <w:r>
            <w:rPr>
              <w:rFonts w:hint="eastAsia"/>
            </w:rPr>
            <w:t>2016年01月01日</w:t>
          </w:r>
        </w:p>
        <w:p>
          <w:pPr>
            <w:pStyle w:val="12"/>
            <w:jc w:val="both"/>
          </w:pPr>
          <w:r>
            <w:rPr>
              <w:rFonts w:hint="eastAsia"/>
            </w:rPr>
            <w:t>2019年10月11日</w:t>
          </w:r>
        </w:p>
        <w:p>
          <w:pPr>
            <w:pStyle w:val="12"/>
            <w:jc w:val="both"/>
          </w:pPr>
          <w:r>
            <w:rPr>
              <w:rFonts w:hint="eastAsia"/>
            </w:rPr>
            <w:t>2019年10月11日</w:t>
          </w:r>
        </w:p>
        <w:p>
          <w:pPr>
            <w:pStyle w:val="12"/>
            <w:jc w:val="both"/>
          </w:pPr>
          <w:r>
            <w:rPr>
              <w:rFonts w:hint="eastAsia"/>
            </w:rPr>
            <w:t xml:space="preserve">第 1 </w:t>
          </w:r>
          <w:r>
            <w:rPr>
              <w:rStyle w:val="21"/>
              <w:rFonts w:hint="eastAsia"/>
            </w:rPr>
            <w:t>页  共 20 页</w:t>
          </w:r>
        </w:p>
      </w:tc>
    </w:tr>
  </w:tbl>
  <w:p/>
  <w:p>
    <w:pPr>
      <w:pStyle w:val="12"/>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2"/>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tbl>
    <w:tblPr>
      <w:tblStyle w:val="19"/>
      <w:tblW w:w="9180" w:type="dxa"/>
      <w:tblInd w:w="-252" w:type="dxa"/>
      <w:tblLayout w:type="fixed"/>
      <w:tblCellMar>
        <w:top w:w="0" w:type="dxa"/>
        <w:left w:w="108" w:type="dxa"/>
        <w:bottom w:w="0" w:type="dxa"/>
        <w:right w:w="108" w:type="dxa"/>
      </w:tblCellMar>
    </w:tblPr>
    <w:tblGrid>
      <w:gridCol w:w="1050"/>
      <w:gridCol w:w="4530"/>
      <w:gridCol w:w="1231"/>
      <w:gridCol w:w="2369"/>
    </w:tblGrid>
    <w:tr>
      <w:tblPrEx>
        <w:tblCellMar>
          <w:top w:w="0" w:type="dxa"/>
          <w:left w:w="108" w:type="dxa"/>
          <w:bottom w:w="0" w:type="dxa"/>
          <w:right w:w="108" w:type="dxa"/>
        </w:tblCellMar>
      </w:tblPrEx>
      <w:trPr>
        <w:trHeight w:val="1326" w:hRule="atLeast"/>
      </w:trPr>
      <w:tc>
        <w:tcPr>
          <w:tcW w:w="1050" w:type="dxa"/>
          <w:tcBorders>
            <w:top w:val="thinThickSmallGap" w:color="002071" w:sz="18" w:space="0"/>
            <w:left w:val="nil"/>
            <w:bottom w:val="nil"/>
            <w:right w:val="nil"/>
          </w:tcBorders>
        </w:tcPr>
        <w:p>
          <w:pPr>
            <w:pStyle w:val="12"/>
            <w:ind w:left="-108"/>
            <w:jc w:val="both"/>
            <w:rPr>
              <w:sz w:val="13"/>
            </w:rPr>
          </w:pPr>
        </w:p>
        <w:p>
          <w:pPr>
            <w:pStyle w:val="12"/>
            <w:ind w:left="-108"/>
            <w:jc w:val="both"/>
          </w:pPr>
          <w:r>
            <w:rPr>
              <w:rFonts w:hint="eastAsia"/>
            </w:rPr>
            <w:t>通讯地址：</w:t>
          </w:r>
        </w:p>
        <w:p>
          <w:pPr>
            <w:pStyle w:val="12"/>
            <w:ind w:left="-108"/>
            <w:jc w:val="both"/>
          </w:pPr>
          <w:r>
            <w:rPr>
              <w:rFonts w:hint="eastAsia"/>
            </w:rPr>
            <w:t>电话：</w:t>
          </w:r>
        </w:p>
        <w:p>
          <w:pPr>
            <w:pStyle w:val="12"/>
            <w:ind w:left="-108"/>
            <w:jc w:val="both"/>
          </w:pPr>
          <w:r>
            <w:rPr>
              <w:rFonts w:hint="eastAsia"/>
            </w:rPr>
            <w:t>传真：</w:t>
          </w:r>
        </w:p>
        <w:p>
          <w:pPr>
            <w:pStyle w:val="12"/>
            <w:ind w:left="-108"/>
            <w:jc w:val="both"/>
          </w:pPr>
          <w:r>
            <w:rPr>
              <w:rFonts w:hint="eastAsia"/>
            </w:rPr>
            <w:t>网址：</w:t>
          </w:r>
        </w:p>
        <w:p>
          <w:pPr>
            <w:pStyle w:val="12"/>
            <w:ind w:left="-108"/>
            <w:jc w:val="both"/>
          </w:pPr>
          <w:r>
            <w:rPr>
              <w:rFonts w:hint="eastAsia"/>
              <w:spacing w:val="24"/>
              <w:sz w:val="21"/>
            </w:rPr>
            <w:t>E-mail</w:t>
          </w:r>
          <w:r>
            <w:rPr>
              <w:rFonts w:hint="eastAsia"/>
              <w:spacing w:val="20"/>
              <w:lang w:val="en-GB"/>
            </w:rPr>
            <w:t>：</w:t>
          </w:r>
        </w:p>
      </w:tc>
      <w:tc>
        <w:tcPr>
          <w:tcW w:w="4530" w:type="dxa"/>
          <w:tcBorders>
            <w:top w:val="thinThickSmallGap" w:color="002071" w:sz="18" w:space="0"/>
            <w:left w:val="nil"/>
            <w:bottom w:val="nil"/>
            <w:right w:val="nil"/>
          </w:tcBorders>
        </w:tcPr>
        <w:p>
          <w:pPr>
            <w:pStyle w:val="12"/>
            <w:ind w:left="-108"/>
            <w:jc w:val="both"/>
            <w:rPr>
              <w:sz w:val="13"/>
            </w:rPr>
          </w:pPr>
        </w:p>
        <w:p>
          <w:pPr>
            <w:pStyle w:val="12"/>
            <w:ind w:left="-108"/>
            <w:jc w:val="both"/>
          </w:pPr>
          <w:r>
            <w:rPr>
              <w:rFonts w:hint="eastAsia"/>
            </w:rPr>
            <w:t>北京市海淀区增光路33号</w:t>
          </w:r>
          <w:r>
            <w:t>(</w:t>
          </w:r>
          <w:r>
            <w:rPr>
              <w:rFonts w:hint="eastAsia"/>
            </w:rPr>
            <w:t>100048</w:t>
          </w:r>
          <w:r>
            <w:t>)</w:t>
          </w:r>
        </w:p>
        <w:p>
          <w:pPr>
            <w:pStyle w:val="12"/>
            <w:ind w:left="-108"/>
            <w:jc w:val="both"/>
          </w:pPr>
          <w:r>
            <w:rPr>
              <w:rFonts w:hint="eastAsia"/>
            </w:rPr>
            <w:t>（010）88411888（总机）</w:t>
          </w:r>
        </w:p>
        <w:p>
          <w:pPr>
            <w:pStyle w:val="12"/>
            <w:ind w:left="-108"/>
            <w:jc w:val="both"/>
          </w:pPr>
          <w:r>
            <w:rPr>
              <w:rFonts w:hint="eastAsia"/>
            </w:rPr>
            <w:t>（010）88414325</w:t>
          </w:r>
        </w:p>
        <w:p>
          <w:pPr>
            <w:pStyle w:val="12"/>
            <w:jc w:val="both"/>
          </w:pPr>
          <w:r>
            <w:t>http://</w:t>
          </w:r>
          <w:r>
            <w:rPr>
              <w:rFonts w:hint="eastAsia"/>
            </w:rPr>
            <w:t>www.</w:t>
          </w:r>
          <w:r>
            <w:t>cqm.</w:t>
          </w:r>
          <w:r>
            <w:rPr>
              <w:rFonts w:hint="eastAsia"/>
            </w:rPr>
            <w:t>com.</w:t>
          </w:r>
          <w:r>
            <w:t>cn/</w:t>
          </w:r>
        </w:p>
        <w:p>
          <w:pPr>
            <w:pStyle w:val="12"/>
            <w:jc w:val="both"/>
          </w:pPr>
          <w:r>
            <w:t>cqm@cqm.com.cn</w:t>
          </w:r>
        </w:p>
      </w:tc>
      <w:tc>
        <w:tcPr>
          <w:tcW w:w="1231" w:type="dxa"/>
          <w:tcBorders>
            <w:top w:val="thinThickSmallGap" w:color="002071" w:sz="18" w:space="0"/>
            <w:left w:val="nil"/>
            <w:bottom w:val="nil"/>
            <w:right w:val="nil"/>
          </w:tcBorders>
        </w:tcPr>
        <w:p>
          <w:pPr>
            <w:pStyle w:val="12"/>
            <w:jc w:val="both"/>
          </w:pPr>
        </w:p>
        <w:p>
          <w:pPr>
            <w:pStyle w:val="12"/>
            <w:jc w:val="both"/>
          </w:pPr>
          <w:r>
            <w:rPr>
              <w:rFonts w:hint="eastAsia"/>
            </w:rPr>
            <w:t xml:space="preserve">文件编号： </w:t>
          </w:r>
        </w:p>
        <w:p>
          <w:pPr>
            <w:pStyle w:val="12"/>
            <w:jc w:val="both"/>
          </w:pPr>
          <w:r>
            <w:rPr>
              <w:rFonts w:hint="eastAsia"/>
            </w:rPr>
            <w:t xml:space="preserve">发布日期： </w:t>
          </w:r>
        </w:p>
        <w:p>
          <w:pPr>
            <w:widowControl/>
            <w:jc w:val="left"/>
            <w:rPr>
              <w:sz w:val="18"/>
              <w:szCs w:val="18"/>
            </w:rPr>
          </w:pPr>
          <w:r>
            <w:rPr>
              <w:rFonts w:hint="eastAsia"/>
              <w:sz w:val="18"/>
              <w:szCs w:val="18"/>
            </w:rPr>
            <w:t>修订日期：</w:t>
          </w:r>
        </w:p>
        <w:p>
          <w:pPr>
            <w:widowControl/>
            <w:jc w:val="left"/>
            <w:rPr>
              <w:sz w:val="18"/>
              <w:szCs w:val="18"/>
            </w:rPr>
          </w:pPr>
          <w:r>
            <w:rPr>
              <w:rFonts w:hint="eastAsia"/>
              <w:sz w:val="18"/>
              <w:szCs w:val="18"/>
            </w:rPr>
            <w:t>实施日期：</w:t>
          </w:r>
        </w:p>
        <w:p>
          <w:pPr>
            <w:widowControl/>
            <w:jc w:val="left"/>
            <w:rPr>
              <w:sz w:val="18"/>
              <w:szCs w:val="18"/>
            </w:rPr>
          </w:pPr>
          <w:r>
            <w:rPr>
              <w:rFonts w:hint="eastAsia"/>
              <w:sz w:val="18"/>
              <w:szCs w:val="18"/>
            </w:rPr>
            <w:t>页数：</w:t>
          </w:r>
        </w:p>
      </w:tc>
      <w:tc>
        <w:tcPr>
          <w:tcW w:w="2369" w:type="dxa"/>
          <w:tcBorders>
            <w:top w:val="thinThickSmallGap" w:color="002071" w:sz="18" w:space="0"/>
            <w:left w:val="nil"/>
            <w:bottom w:val="nil"/>
            <w:right w:val="nil"/>
          </w:tcBorders>
        </w:tcPr>
        <w:p>
          <w:pPr>
            <w:pStyle w:val="12"/>
            <w:jc w:val="both"/>
          </w:pPr>
        </w:p>
        <w:p>
          <w:pPr>
            <w:pStyle w:val="12"/>
            <w:jc w:val="both"/>
          </w:pPr>
          <w:r>
            <w:t>CQM/S-</w:t>
          </w:r>
          <w:r>
            <w:rPr>
              <w:rFonts w:hint="eastAsia"/>
            </w:rPr>
            <w:t>FN</w:t>
          </w:r>
          <w:r>
            <w:t>-</w:t>
          </w:r>
          <w:r>
            <w:rPr>
              <w:rFonts w:hint="eastAsia"/>
            </w:rPr>
            <w:t>12-011</w:t>
          </w:r>
        </w:p>
        <w:p>
          <w:pPr>
            <w:pStyle w:val="12"/>
            <w:jc w:val="both"/>
          </w:pPr>
          <w:r>
            <w:rPr>
              <w:rFonts w:hint="eastAsia"/>
            </w:rPr>
            <w:t>2018年11月15日</w:t>
          </w:r>
        </w:p>
        <w:p>
          <w:pPr>
            <w:pStyle w:val="12"/>
            <w:jc w:val="both"/>
          </w:pPr>
          <w:r>
            <w:rPr>
              <w:rFonts w:hint="eastAsia"/>
            </w:rPr>
            <w:t>20</w:t>
          </w:r>
          <w:r>
            <w:rPr>
              <w:rFonts w:hint="eastAsia"/>
              <w:lang w:val="en-US" w:eastAsia="zh-CN"/>
            </w:rPr>
            <w:t>25</w:t>
          </w:r>
          <w:r>
            <w:rPr>
              <w:rFonts w:hint="eastAsia"/>
            </w:rPr>
            <w:t>年</w:t>
          </w:r>
          <w:r>
            <w:rPr>
              <w:rFonts w:hint="eastAsia"/>
              <w:lang w:val="en-US" w:eastAsia="zh-CN"/>
            </w:rPr>
            <w:t>06</w:t>
          </w:r>
          <w:r>
            <w:rPr>
              <w:rFonts w:hint="eastAsia"/>
            </w:rPr>
            <w:t>月</w:t>
          </w:r>
          <w:r>
            <w:rPr>
              <w:rFonts w:hint="eastAsia"/>
              <w:lang w:val="en-US" w:eastAsia="zh-CN"/>
            </w:rPr>
            <w:t>13</w:t>
          </w:r>
          <w:r>
            <w:rPr>
              <w:rFonts w:hint="eastAsia"/>
            </w:rPr>
            <w:t>日</w:t>
          </w:r>
        </w:p>
        <w:p>
          <w:pPr>
            <w:pStyle w:val="12"/>
            <w:jc w:val="both"/>
          </w:pPr>
          <w:r>
            <w:rPr>
              <w:rFonts w:hint="eastAsia"/>
            </w:rPr>
            <w:t>20</w:t>
          </w:r>
          <w:r>
            <w:rPr>
              <w:rFonts w:hint="eastAsia"/>
              <w:lang w:val="en-US" w:eastAsia="zh-CN"/>
            </w:rPr>
            <w:t>25</w:t>
          </w:r>
          <w:r>
            <w:rPr>
              <w:rFonts w:hint="eastAsia"/>
            </w:rPr>
            <w:t>年</w:t>
          </w:r>
          <w:r>
            <w:rPr>
              <w:rFonts w:hint="eastAsia"/>
              <w:lang w:val="en-US" w:eastAsia="zh-CN"/>
            </w:rPr>
            <w:t>06</w:t>
          </w:r>
          <w:r>
            <w:rPr>
              <w:rFonts w:hint="eastAsia"/>
            </w:rPr>
            <w:t>月</w:t>
          </w:r>
          <w:r>
            <w:rPr>
              <w:rFonts w:hint="eastAsia"/>
              <w:lang w:val="en-US" w:eastAsia="zh-CN"/>
            </w:rPr>
            <w:t>13</w:t>
          </w:r>
          <w:r>
            <w:rPr>
              <w:rFonts w:hint="eastAsia"/>
            </w:rPr>
            <w:t>日</w:t>
          </w:r>
          <w:r>
            <w:rPr>
              <w:sz w:val="13"/>
            </w:rPr>
            <mc:AlternateContent>
              <mc:Choice Requires="wps">
                <w:drawing>
                  <wp:anchor distT="0" distB="0" distL="114300" distR="114300" simplePos="0" relativeHeight="251664384" behindDoc="1" locked="0" layoutInCell="1" allowOverlap="1">
                    <wp:simplePos x="0" y="0"/>
                    <wp:positionH relativeFrom="margin">
                      <wp:posOffset>5080</wp:posOffset>
                    </wp:positionH>
                    <wp:positionV relativeFrom="paragraph">
                      <wp:posOffset>148590</wp:posOffset>
                    </wp:positionV>
                    <wp:extent cx="1002030" cy="159385"/>
                    <wp:effectExtent l="0" t="0" r="0" b="0"/>
                    <wp:wrapThrough wrapText="bothSides">
                      <wp:wrapPolygon>
                        <wp:start x="21592" y="-2"/>
                        <wp:lineTo x="0" y="0"/>
                        <wp:lineTo x="0" y="21600"/>
                        <wp:lineTo x="21592" y="21602"/>
                        <wp:lineTo x="8" y="21602"/>
                        <wp:lineTo x="21600" y="21600"/>
                        <wp:lineTo x="21600" y="0"/>
                        <wp:lineTo x="8" y="-2"/>
                        <wp:lineTo x="21592" y="-2"/>
                      </wp:wrapPolygon>
                    </wp:wrapThrough>
                    <wp:docPr id="22" name="文本框 32"/>
                    <wp:cNvGraphicFramePr/>
                    <a:graphic xmlns:a="http://schemas.openxmlformats.org/drawingml/2006/main">
                      <a:graphicData uri="http://schemas.microsoft.com/office/word/2010/wordprocessingShape">
                        <wps:wsp>
                          <wps:cNvSpPr txBox="true"/>
                          <wps:spPr>
                            <a:xfrm rot="-10800000" flipV="true">
                              <a:off x="0" y="0"/>
                              <a:ext cx="1002030" cy="159385"/>
                            </a:xfrm>
                            <a:prstGeom prst="rect">
                              <a:avLst/>
                            </a:prstGeom>
                            <a:noFill/>
                            <a:ln>
                              <a:noFill/>
                            </a:ln>
                          </wps:spPr>
                          <wps:txbx>
                            <w:txbxContent>
                              <w:p>
                                <w:pPr>
                                  <w:pStyle w:val="12"/>
                                </w:pPr>
                                <w:r>
                                  <w:t xml:space="preserve">第 </w:t>
                                </w:r>
                                <w:r>
                                  <w:fldChar w:fldCharType="begin"/>
                                </w:r>
                                <w:r>
                                  <w:instrText xml:space="preserve"> PAGE  \* MERGEFORMAT </w:instrText>
                                </w:r>
                                <w:r>
                                  <w:fldChar w:fldCharType="separate"/>
                                </w:r>
                                <w:r>
                                  <w:t>1</w:t>
                                </w:r>
                                <w:r>
                                  <w:fldChar w:fldCharType="end"/>
                                </w:r>
                                <w:r>
                                  <w:t xml:space="preserve"> 页</w:t>
                                </w:r>
                                <w:r>
                                  <w:rPr>
                                    <w:rFonts w:hint="eastAsia"/>
                                  </w:rPr>
                                  <w:t xml:space="preserve"> </w:t>
                                </w:r>
                                <w:r>
                                  <w:t>共</w:t>
                                </w:r>
                                <w:r>
                                  <w:rPr>
                                    <w:rFonts w:hint="eastAsia"/>
                                  </w:rPr>
                                  <w:t xml:space="preserve"> 19 页</w:t>
                                </w:r>
                                <w:r>
                                  <w:rPr>
                                    <w:rFonts w:hint="eastAsia"/>
                                  </w:rPr>
                                  <w:tab/>
                                </w:r>
                                <w:r>
                                  <w:rPr>
                                    <w:rFonts w:hint="eastAsia"/>
                                  </w:rPr>
                                  <w:tab/>
                                </w:r>
                                <w:r>
                                  <w:rPr>
                                    <w:rFonts w:hint="eastAsia"/>
                                  </w:rPr>
                                  <w:tab/>
                                </w:r>
                                <w:r>
                                  <w:rPr>
                                    <w:rFonts w:hint="eastAsia"/>
                                  </w:rPr>
                                  <w:tab/>
                                </w:r>
                                <w:r>
                                  <w:rPr>
                                    <w:rFonts w:hint="eastAsia"/>
                                  </w:rPr>
                                  <w:tab/>
                                </w:r>
                                <w:r>
                                  <w:rPr>
                                    <w:rFonts w:hint="eastAsia"/>
                                  </w:rPr>
                                  <w:tab/>
                                </w:r>
                                <w:r>
                                  <w:rPr>
                                    <w:rFonts w:hint="eastAsia"/>
                                  </w:rPr>
                                  <w:tab/>
                                </w:r>
                                <w:r>
                                  <w:rPr>
                                    <w:rFonts w:hint="eastAsia"/>
                                  </w:rPr>
                                  <w:tab/>
                                </w:r>
                                <w:r>
                                  <w:rPr>
                                    <w:rFonts w:hint="eastAsia"/>
                                  </w:rPr>
                                  <w:tab/>
                                </w:r>
                                <w:r>
                                  <w:t xml:space="preserve"> 页</w:t>
                                </w:r>
                              </w:p>
                            </w:txbxContent>
                          </wps:txbx>
                          <wps:bodyPr lIns="0" tIns="0" rIns="0" bIns="0"/>
                        </wps:wsp>
                      </a:graphicData>
                    </a:graphic>
                  </wp:anchor>
                </w:drawing>
              </mc:Choice>
              <mc:Fallback>
                <w:pict>
                  <v:shape id="文本框 32" o:spid="_x0000_s1026" o:spt="202" type="#_x0000_t202" style="position:absolute;left:0pt;flip:y;margin-left:0.4pt;margin-top:11.7pt;height:12.55pt;width:78.9pt;mso-position-horizontal-relative:margin;mso-wrap-distance-left:9pt;mso-wrap-distance-right:9pt;rotation:11796480f;z-index:-251652096;mso-width-relative:page;mso-height-relative:page;" filled="f" stroked="f" coordsize="21600,21600" wrapcoords="21592 -2 0 0 0 21600 21592 21602 8 21602 21600 21600 21600 0 8 -2 21592 -2" o:gfxdata="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">
                    <v:fill on="f" focussize="0,0"/>
                    <v:stroke on="f"/>
                    <v:imagedata o:title=""/>
                    <o:lock v:ext="edit" aspectratio="f"/>
                    <v:textbox inset="0mm,0mm,0mm,0mm">
                      <w:txbxContent>
                        <w:p>
                          <w:pPr>
                            <w:pStyle w:val="12"/>
                          </w:pPr>
                          <w:r>
                            <w:t xml:space="preserve">第 </w:t>
                          </w:r>
                          <w:r>
                            <w:fldChar w:fldCharType="begin"/>
                          </w:r>
                          <w:r>
                            <w:instrText xml:space="preserve"> PAGE  \* MERGEFORMAT </w:instrText>
                          </w:r>
                          <w:r>
                            <w:fldChar w:fldCharType="separate"/>
                          </w:r>
                          <w:r>
                            <w:t>1</w:t>
                          </w:r>
                          <w:r>
                            <w:fldChar w:fldCharType="end"/>
                          </w:r>
                          <w:r>
                            <w:t xml:space="preserve"> 页</w:t>
                          </w:r>
                          <w:r>
                            <w:rPr>
                              <w:rFonts w:hint="eastAsia"/>
                            </w:rPr>
                            <w:t xml:space="preserve"> </w:t>
                          </w:r>
                          <w:r>
                            <w:t>共</w:t>
                          </w:r>
                          <w:r>
                            <w:rPr>
                              <w:rFonts w:hint="eastAsia"/>
                            </w:rPr>
                            <w:t xml:space="preserve"> 19 页</w:t>
                          </w:r>
                          <w:r>
                            <w:rPr>
                              <w:rFonts w:hint="eastAsia"/>
                            </w:rPr>
                            <w:tab/>
                          </w:r>
                          <w:r>
                            <w:rPr>
                              <w:rFonts w:hint="eastAsia"/>
                            </w:rPr>
                            <w:tab/>
                          </w:r>
                          <w:r>
                            <w:rPr>
                              <w:rFonts w:hint="eastAsia"/>
                            </w:rPr>
                            <w:tab/>
                          </w:r>
                          <w:r>
                            <w:rPr>
                              <w:rFonts w:hint="eastAsia"/>
                            </w:rPr>
                            <w:tab/>
                          </w:r>
                          <w:r>
                            <w:rPr>
                              <w:rFonts w:hint="eastAsia"/>
                            </w:rPr>
                            <w:tab/>
                          </w:r>
                          <w:r>
                            <w:rPr>
                              <w:rFonts w:hint="eastAsia"/>
                            </w:rPr>
                            <w:tab/>
                          </w:r>
                          <w:r>
                            <w:rPr>
                              <w:rFonts w:hint="eastAsia"/>
                            </w:rPr>
                            <w:tab/>
                          </w:r>
                          <w:r>
                            <w:rPr>
                              <w:rFonts w:hint="eastAsia"/>
                            </w:rPr>
                            <w:tab/>
                          </w:r>
                          <w:r>
                            <w:rPr>
                              <w:rFonts w:hint="eastAsia"/>
                            </w:rPr>
                            <w:tab/>
                          </w:r>
                          <w:r>
                            <w:t xml:space="preserve"> 页</w:t>
                          </w:r>
                        </w:p>
                      </w:txbxContent>
                    </v:textbox>
                    <w10:wrap type="through"/>
                  </v:shape>
                </w:pict>
              </mc:Fallback>
            </mc:AlternateContent>
          </w:r>
        </w:p>
      </w:tc>
    </w:tr>
  </w:tbl>
  <w:p/>
  <w:p>
    <w:pPr>
      <w:pStyle w:val="12"/>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2"/>
    </w:pPr>
    <w:r>
      <mc:AlternateContent>
        <mc:Choice Requires="wps">
          <w:drawing>
            <wp:anchor distT="0" distB="0" distL="114300" distR="114300" simplePos="0" relativeHeight="251662336" behindDoc="0" locked="0" layoutInCell="1" allowOverlap="1">
              <wp:simplePos x="0" y="0"/>
              <wp:positionH relativeFrom="margin">
                <wp:align>center</wp:align>
              </wp:positionH>
              <wp:positionV relativeFrom="paragraph">
                <wp:posOffset>0</wp:posOffset>
              </wp:positionV>
              <wp:extent cx="1828800" cy="1828800"/>
              <wp:effectExtent l="0" t="0" r="0" b="0"/>
              <wp:wrapNone/>
              <wp:docPr id="21" name="文本框 23"/>
              <wp:cNvGraphicFramePr/>
              <a:graphic xmlns:a="http://schemas.openxmlformats.org/drawingml/2006/main">
                <a:graphicData uri="http://schemas.microsoft.com/office/word/2010/wordprocessingShape">
                  <wps:wsp>
                    <wps:cNvSpPr txBox="true"/>
                    <wps:spPr>
                      <a:xfrm>
                        <a:off x="0" y="0"/>
                        <a:ext cx="1828800" cy="1828800"/>
                      </a:xfrm>
                      <a:prstGeom prst="rect">
                        <a:avLst/>
                      </a:prstGeom>
                      <a:noFill/>
                      <a:ln>
                        <a:noFill/>
                      </a:ln>
                    </wps:spPr>
                    <wps:txbx>
                      <w:txbxContent>
                        <w:p>
                          <w:pPr>
                            <w:pStyle w:val="12"/>
                          </w:pPr>
                          <w:r>
                            <w:fldChar w:fldCharType="begin"/>
                          </w:r>
                          <w:r>
                            <w:instrText xml:space="preserve"> PAGE  \* MERGEFORMAT </w:instrText>
                          </w:r>
                          <w:r>
                            <w:fldChar w:fldCharType="separate"/>
                          </w:r>
                          <w:r>
                            <w:t>2</w:t>
                          </w:r>
                          <w:r>
                            <w:fldChar w:fldCharType="end"/>
                          </w:r>
                        </w:p>
                      </w:txbxContent>
                    </wps:txbx>
                    <wps:bodyPr wrap="none" lIns="0" tIns="0" rIns="0" bIns="0">
                      <a:spAutoFit/>
                    </wps:bodyPr>
                  </wps:wsp>
                </a:graphicData>
              </a:graphic>
            </wp:anchor>
          </w:drawing>
        </mc:Choice>
        <mc:Fallback>
          <w:pict>
            <v:shape id="文本框 23" o:spid="_x0000_s1026" o:spt="202" type="#_x0000_t202" style="position:absolute;left:0pt;margin-top:0pt;height:144pt;width:144pt;mso-position-horizontal:center;mso-position-horizontal-relative:margin;mso-wrap-style:none;z-index:251662336;mso-width-relative:page;mso-height-relative:page;" filled="f" stroked="f" coordsize="21600,21600" o:gfxdata="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">
              <v:fill on="f" focussize="0,0"/>
              <v:stroke on="f"/>
              <v:imagedata o:title=""/>
              <o:lock v:ext="edit" aspectratio="f"/>
              <v:textbox inset="0mm,0mm,0mm,0mm" style="mso-fit-shape-to-text:t;">
                <w:txbxContent>
                  <w:p>
                    <w:pPr>
                      <w:pStyle w:val="12"/>
                    </w:pPr>
                    <w:r>
                      <w:fldChar w:fldCharType="begin"/>
                    </w:r>
                    <w:r>
                      <w:instrText xml:space="preserve"> PAGE  \* MERGEFORMAT </w:instrText>
                    </w:r>
                    <w:r>
                      <w:fldChar w:fldCharType="separate"/>
                    </w:r>
                    <w:r>
                      <w:t>2</w:t>
                    </w:r>
                    <w: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tbl>
    <w:tblPr>
      <w:tblStyle w:val="19"/>
      <w:tblW w:w="9180" w:type="dxa"/>
      <w:tblInd w:w="-252" w:type="dxa"/>
      <w:tblBorders>
        <w:top w:val="none" w:color="auto" w:sz="0" w:space="0"/>
        <w:left w:val="none" w:color="auto" w:sz="0" w:space="0"/>
        <w:bottom w:val="thinThickSmallGap" w:color="002071" w:sz="18" w:space="0"/>
        <w:right w:val="none" w:color="auto" w:sz="0" w:space="0"/>
        <w:insideH w:val="none" w:color="auto" w:sz="0" w:space="0"/>
        <w:insideV w:val="none" w:color="auto" w:sz="0" w:space="0"/>
      </w:tblBorders>
      <w:tblLayout w:type="autofit"/>
      <w:tblCellMar>
        <w:top w:w="0" w:type="dxa"/>
        <w:left w:w="108" w:type="dxa"/>
        <w:bottom w:w="0" w:type="dxa"/>
        <w:right w:w="108" w:type="dxa"/>
      </w:tblCellMar>
    </w:tblPr>
    <w:tblGrid>
      <w:gridCol w:w="9180"/>
    </w:tblGrid>
    <w:tr>
      <w:tblPrEx>
        <w:tblBorders>
          <w:top w:val="none" w:color="auto" w:sz="0" w:space="0"/>
          <w:left w:val="none" w:color="auto" w:sz="0" w:space="0"/>
          <w:bottom w:val="thinThickSmallGap" w:color="002071" w:sz="18"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77" w:hRule="atLeast"/>
      </w:trPr>
      <w:tc>
        <w:tcPr>
          <w:tcW w:w="9180" w:type="dxa"/>
          <w:tcBorders>
            <w:tl2br w:val="nil"/>
            <w:tr2bl w:val="nil"/>
          </w:tcBorders>
          <w:vAlign w:val="center"/>
        </w:tcPr>
        <w:p>
          <w:pPr>
            <w:pStyle w:val="13"/>
            <w:pBdr>
              <w:bottom w:val="none" w:color="auto" w:sz="0" w:space="0"/>
            </w:pBdr>
            <w:jc w:val="both"/>
          </w:pPr>
          <w:r>
            <w:drawing>
              <wp:anchor distT="0" distB="0" distL="0" distR="0" simplePos="0" relativeHeight="251659264" behindDoc="1" locked="0" layoutInCell="1" allowOverlap="1">
                <wp:simplePos x="0" y="0"/>
                <wp:positionH relativeFrom="column">
                  <wp:posOffset>177800</wp:posOffset>
                </wp:positionH>
                <wp:positionV relativeFrom="paragraph">
                  <wp:posOffset>138430</wp:posOffset>
                </wp:positionV>
                <wp:extent cx="1837690" cy="335280"/>
                <wp:effectExtent l="0" t="0" r="10160" b="7620"/>
                <wp:wrapNone/>
                <wp:docPr id="8" name="图片 0" descr="方圆标志全称.jpg"/>
                <wp:cNvGraphicFramePr>
                  <a:graphicFrameLocks xmlns:a="http://schemas.openxmlformats.org/drawingml/2006/main" noChangeAspect="true"/>
                </wp:cNvGraphicFramePr>
                <a:graphic xmlns:a="http://schemas.openxmlformats.org/drawingml/2006/main">
                  <a:graphicData uri="http://schemas.openxmlformats.org/drawingml/2006/picture">
                    <pic:pic xmlns:pic="http://schemas.openxmlformats.org/drawingml/2006/picture">
                      <pic:nvPicPr>
                        <pic:cNvPr id="8" name="图片 0" descr="方圆标志全称.jpg"/>
                        <pic:cNvPicPr>
                          <a:picLocks noChangeAspect="true" noChangeArrowheads="true"/>
                        </pic:cNvPicPr>
                      </pic:nvPicPr>
                      <pic:blipFill>
                        <a:blip r:embed="rId1"/>
                        <a:stretch>
                          <a:fillRect/>
                        </a:stretch>
                      </pic:blipFill>
                      <pic:spPr>
                        <a:xfrm>
                          <a:off x="0" y="0"/>
                          <a:ext cx="1837690" cy="335280"/>
                        </a:xfrm>
                        <a:prstGeom prst="rect">
                          <a:avLst/>
                        </a:prstGeom>
                        <a:noFill/>
                        <a:ln w="9525">
                          <a:noFill/>
                          <a:miter lim="800000"/>
                          <a:headEnd/>
                          <a:tailEnd/>
                        </a:ln>
                      </pic:spPr>
                    </pic:pic>
                  </a:graphicData>
                </a:graphic>
              </wp:anchor>
            </w:drawing>
          </w:r>
        </w:p>
        <w:p/>
      </w:tc>
    </w:tr>
  </w:tbl>
  <w:p>
    <w:pPr>
      <w:jc w:val="left"/>
      <w:rPr>
        <w:sz w:val="10"/>
      </w:rPr>
    </w:pPr>
    <w:r>
      <w:rPr>
        <w:sz w:val="10"/>
      </w:rPr>
      <w:drawing>
        <wp:anchor distT="0" distB="0" distL="114300" distR="114300" simplePos="0" relativeHeight="251663360" behindDoc="1" locked="0" layoutInCell="1" allowOverlap="1">
          <wp:simplePos x="0" y="0"/>
          <wp:positionH relativeFrom="column">
            <wp:posOffset>114300</wp:posOffset>
          </wp:positionH>
          <wp:positionV relativeFrom="paragraph">
            <wp:posOffset>2673985</wp:posOffset>
          </wp:positionV>
          <wp:extent cx="5276850" cy="3315970"/>
          <wp:effectExtent l="0" t="0" r="0" b="0"/>
          <wp:wrapNone/>
          <wp:docPr id="5" name="图片 5" descr="C:\Users\zxj.ECP\Desktop\1277aa36962cbf69946fe4c24bdb4c1.png"/>
          <wp:cNvGraphicFramePr>
            <a:graphicFrameLocks xmlns:a="http://schemas.openxmlformats.org/drawingml/2006/main" noChangeAspect="true"/>
          </wp:cNvGraphicFramePr>
          <a:graphic xmlns:a="http://schemas.openxmlformats.org/drawingml/2006/main">
            <a:graphicData uri="http://schemas.openxmlformats.org/drawingml/2006/picture">
              <pic:pic xmlns:pic="http://schemas.openxmlformats.org/drawingml/2006/picture">
                <pic:nvPicPr>
                  <pic:cNvPr id="5" name="图片 5" descr="C:\Users\zxj.ECP\Desktop\1277aa36962cbf69946fe4c24bdb4c1.png"/>
                  <pic:cNvPicPr>
                    <a:picLocks noChangeAspect="true" noChangeArrowheads="true"/>
                  </pic:cNvPicPr>
                </pic:nvPicPr>
                <pic:blipFill>
                  <a:blip r:embed="rId2"/>
                  <a:srcRect/>
                  <a:stretch>
                    <a:fillRect/>
                  </a:stretch>
                </pic:blipFill>
                <pic:spPr>
                  <a:xfrm>
                    <a:off x="0" y="0"/>
                    <a:ext cx="5277079" cy="3316077"/>
                  </a:xfrm>
                  <a:prstGeom prst="rect">
                    <a:avLst/>
                  </a:prstGeom>
                  <a:noFill/>
                  <a:ln w="9525">
                    <a:noFill/>
                    <a:miter lim="800000"/>
                    <a:headEnd/>
                    <a:tailEnd/>
                  </a:ln>
                </pic:spPr>
              </pic:pic>
            </a:graphicData>
          </a:graphic>
        </wp:anchor>
      </w:drawing>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3"/>
    </w:pPr>
    <w:r>
      <w:drawing>
        <wp:anchor distT="0" distB="0" distL="114300" distR="114300" simplePos="0" relativeHeight="251661312" behindDoc="1" locked="0" layoutInCell="0" allowOverlap="1">
          <wp:simplePos x="0" y="0"/>
          <wp:positionH relativeFrom="margin">
            <wp:align>center</wp:align>
          </wp:positionH>
          <wp:positionV relativeFrom="margin">
            <wp:align>center</wp:align>
          </wp:positionV>
          <wp:extent cx="7560310" cy="10692765"/>
          <wp:effectExtent l="0" t="0" r="13970" b="5715"/>
          <wp:wrapNone/>
          <wp:docPr id="20" name="WordPictureWatermark18675114" descr="962306be775099fd3de14e0fdce536b"/>
          <wp:cNvGraphicFramePr>
            <a:graphicFrameLocks xmlns:a="http://schemas.openxmlformats.org/drawingml/2006/main" noChangeAspect="true"/>
          </wp:cNvGraphicFramePr>
          <a:graphic xmlns:a="http://schemas.openxmlformats.org/drawingml/2006/main">
            <a:graphicData uri="http://schemas.openxmlformats.org/drawingml/2006/picture">
              <pic:pic xmlns:pic="http://schemas.openxmlformats.org/drawingml/2006/picture">
                <pic:nvPicPr>
                  <pic:cNvPr id="20" name="WordPictureWatermark18675114" descr="962306be775099fd3de14e0fdce536b"/>
                  <pic:cNvPicPr>
                    <a:picLocks noChangeAspect="true"/>
                  </pic:cNvPicPr>
                </pic:nvPicPr>
                <pic:blipFill>
                  <a:blip r:embed="rId1"/>
                  <a:stretch>
                    <a:fillRect/>
                  </a:stretch>
                </pic:blipFill>
                <pic:spPr>
                  <a:xfrm>
                    <a:off x="0" y="0"/>
                    <a:ext cx="7560310" cy="10692765"/>
                  </a:xfrm>
                  <a:prstGeom prst="rect">
                    <a:avLst/>
                  </a:prstGeom>
                  <a:noFill/>
                  <a:ln>
                    <a:noFill/>
                  </a:ln>
                </pic:spPr>
              </pic:pic>
            </a:graphicData>
          </a:graphic>
        </wp:anchor>
      </w:drawing>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3"/>
      <w:pBdr>
        <w:bottom w:val="none" w:color="auto" w:sz="0" w:space="0"/>
      </w:pBdr>
      <w:jc w:val="both"/>
    </w:pPr>
    <w:r>
      <w:drawing>
        <wp:anchor distT="0" distB="0" distL="114300" distR="114300" simplePos="0" relativeHeight="251660288" behindDoc="1" locked="0" layoutInCell="0" allowOverlap="1">
          <wp:simplePos x="0" y="0"/>
          <wp:positionH relativeFrom="margin">
            <wp:posOffset>-1028700</wp:posOffset>
          </wp:positionH>
          <wp:positionV relativeFrom="margin">
            <wp:posOffset>-594360</wp:posOffset>
          </wp:positionV>
          <wp:extent cx="7560310" cy="10692765"/>
          <wp:effectExtent l="0" t="0" r="13970" b="5715"/>
          <wp:wrapNone/>
          <wp:docPr id="19" name="WordPictureWatermark18675113" descr="962306be775099fd3de14e0fdce536b"/>
          <wp:cNvGraphicFramePr>
            <a:graphicFrameLocks xmlns:a="http://schemas.openxmlformats.org/drawingml/2006/main" noChangeAspect="true"/>
          </wp:cNvGraphicFramePr>
          <a:graphic xmlns:a="http://schemas.openxmlformats.org/drawingml/2006/main">
            <a:graphicData uri="http://schemas.openxmlformats.org/drawingml/2006/picture">
              <pic:pic xmlns:pic="http://schemas.openxmlformats.org/drawingml/2006/picture">
                <pic:nvPicPr>
                  <pic:cNvPr id="19" name="WordPictureWatermark18675113" descr="962306be775099fd3de14e0fdce536b"/>
                  <pic:cNvPicPr>
                    <a:picLocks noChangeAspect="true"/>
                  </pic:cNvPicPr>
                </pic:nvPicPr>
                <pic:blipFill>
                  <a:blip r:embed="rId1"/>
                  <a:stretch>
                    <a:fillRect/>
                  </a:stretch>
                </pic:blipFill>
                <pic:spPr>
                  <a:xfrm>
                    <a:off x="0" y="0"/>
                    <a:ext cx="7560310" cy="10692765"/>
                  </a:xfrm>
                  <a:prstGeom prst="rect">
                    <a:avLst/>
                  </a:prstGeom>
                  <a:noFill/>
                  <a:ln>
                    <a:noFill/>
                  </a:ln>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101064C4"/>
    <w:multiLevelType w:val="multilevel"/>
    <w:tmpl w:val="101064C4"/>
    <w:lvl w:ilvl="0" w:tentative="0">
      <w:start w:val="1"/>
      <w:numFmt w:val="lowerLetter"/>
      <w:lvlText w:val="%1)"/>
      <w:lvlJc w:val="left"/>
      <w:pPr>
        <w:ind w:left="840" w:hanging="420"/>
      </w:pPr>
      <w:rPr>
        <w:rFonts w:hint="default"/>
      </w:rPr>
    </w:lvl>
    <w:lvl w:ilvl="1" w:tentative="0">
      <w:start w:val="1"/>
      <w:numFmt w:val="bullet"/>
      <w:lvlText w:val=""/>
      <w:lvlJc w:val="left"/>
      <w:pPr>
        <w:ind w:left="1260" w:hanging="420"/>
      </w:pPr>
      <w:rPr>
        <w:rFonts w:hint="default" w:ascii="Wingdings" w:hAnsi="Wingdings"/>
      </w:rPr>
    </w:lvl>
    <w:lvl w:ilvl="2" w:tentative="0">
      <w:start w:val="1"/>
      <w:numFmt w:val="bullet"/>
      <w:lvlText w:val=""/>
      <w:lvlJc w:val="left"/>
      <w:pPr>
        <w:ind w:left="1680" w:hanging="420"/>
      </w:pPr>
      <w:rPr>
        <w:rFonts w:hint="default" w:ascii="Wingdings" w:hAnsi="Wingdings"/>
      </w:rPr>
    </w:lvl>
    <w:lvl w:ilvl="3" w:tentative="0">
      <w:start w:val="1"/>
      <w:numFmt w:val="bullet"/>
      <w:lvlText w:val=""/>
      <w:lvlJc w:val="left"/>
      <w:pPr>
        <w:ind w:left="2100" w:hanging="420"/>
      </w:pPr>
      <w:rPr>
        <w:rFonts w:hint="default" w:ascii="Wingdings" w:hAnsi="Wingdings"/>
      </w:rPr>
    </w:lvl>
    <w:lvl w:ilvl="4" w:tentative="0">
      <w:start w:val="1"/>
      <w:numFmt w:val="bullet"/>
      <w:lvlText w:val=""/>
      <w:lvlJc w:val="left"/>
      <w:pPr>
        <w:ind w:left="2520" w:hanging="420"/>
      </w:pPr>
      <w:rPr>
        <w:rFonts w:hint="default" w:ascii="Wingdings" w:hAnsi="Wingdings"/>
      </w:rPr>
    </w:lvl>
    <w:lvl w:ilvl="5" w:tentative="0">
      <w:start w:val="1"/>
      <w:numFmt w:val="bullet"/>
      <w:lvlText w:val=""/>
      <w:lvlJc w:val="left"/>
      <w:pPr>
        <w:ind w:left="2940" w:hanging="420"/>
      </w:pPr>
      <w:rPr>
        <w:rFonts w:hint="default" w:ascii="Wingdings" w:hAnsi="Wingdings"/>
      </w:rPr>
    </w:lvl>
    <w:lvl w:ilvl="6" w:tentative="0">
      <w:start w:val="1"/>
      <w:numFmt w:val="bullet"/>
      <w:lvlText w:val=""/>
      <w:lvlJc w:val="left"/>
      <w:pPr>
        <w:ind w:left="3360" w:hanging="420"/>
      </w:pPr>
      <w:rPr>
        <w:rFonts w:hint="default" w:ascii="Wingdings" w:hAnsi="Wingdings"/>
      </w:rPr>
    </w:lvl>
    <w:lvl w:ilvl="7" w:tentative="0">
      <w:start w:val="1"/>
      <w:numFmt w:val="bullet"/>
      <w:lvlText w:val=""/>
      <w:lvlJc w:val="left"/>
      <w:pPr>
        <w:ind w:left="3780" w:hanging="420"/>
      </w:pPr>
      <w:rPr>
        <w:rFonts w:hint="default" w:ascii="Wingdings" w:hAnsi="Wingdings"/>
      </w:rPr>
    </w:lvl>
    <w:lvl w:ilvl="8" w:tentative="0">
      <w:start w:val="1"/>
      <w:numFmt w:val="bullet"/>
      <w:lvlText w:val=""/>
      <w:lvlJc w:val="left"/>
      <w:pPr>
        <w:ind w:left="4200" w:hanging="420"/>
      </w:pPr>
      <w:rPr>
        <w:rFonts w:hint="default" w:ascii="Wingdings" w:hAnsi="Wingdings"/>
      </w:rPr>
    </w:lvl>
  </w:abstractNum>
  <w:abstractNum w:abstractNumId="1">
    <w:nsid w:val="18856645"/>
    <w:multiLevelType w:val="multilevel"/>
    <w:tmpl w:val="18856645"/>
    <w:lvl w:ilvl="0" w:tentative="0">
      <w:start w:val="1"/>
      <w:numFmt w:val="lowerLetter"/>
      <w:lvlText w:val="%1)"/>
      <w:lvlJc w:val="left"/>
      <w:pPr>
        <w:tabs>
          <w:tab w:val="left" w:pos="1050"/>
        </w:tabs>
        <w:ind w:left="1050" w:hanging="690"/>
      </w:pPr>
      <w:rPr>
        <w:rFonts w:hint="eastAsia"/>
      </w:rPr>
    </w:lvl>
    <w:lvl w:ilvl="1" w:tentative="0">
      <w:start w:val="1"/>
      <w:numFmt w:val="decimal"/>
      <w:lvlText w:val="%2）"/>
      <w:lvlJc w:val="left"/>
      <w:pPr>
        <w:tabs>
          <w:tab w:val="left" w:pos="1140"/>
        </w:tabs>
        <w:ind w:left="1140" w:hanging="360"/>
      </w:pPr>
      <w:rPr>
        <w:rFonts w:hint="eastAsia"/>
      </w:rPr>
    </w:lvl>
    <w:lvl w:ilvl="2" w:tentative="0">
      <w:start w:val="1"/>
      <w:numFmt w:val="lowerRoman"/>
      <w:lvlText w:val="%3."/>
      <w:lvlJc w:val="right"/>
      <w:pPr>
        <w:tabs>
          <w:tab w:val="left" w:pos="1620"/>
        </w:tabs>
        <w:ind w:left="1620" w:hanging="420"/>
      </w:pPr>
    </w:lvl>
    <w:lvl w:ilvl="3" w:tentative="0">
      <w:start w:val="1"/>
      <w:numFmt w:val="decimal"/>
      <w:lvlText w:val="%4."/>
      <w:lvlJc w:val="left"/>
      <w:pPr>
        <w:tabs>
          <w:tab w:val="left" w:pos="2040"/>
        </w:tabs>
        <w:ind w:left="2040" w:hanging="420"/>
      </w:pPr>
    </w:lvl>
    <w:lvl w:ilvl="4" w:tentative="0">
      <w:start w:val="1"/>
      <w:numFmt w:val="lowerLetter"/>
      <w:lvlText w:val="%5)"/>
      <w:lvlJc w:val="left"/>
      <w:pPr>
        <w:tabs>
          <w:tab w:val="left" w:pos="2460"/>
        </w:tabs>
        <w:ind w:left="2460" w:hanging="420"/>
      </w:pPr>
    </w:lvl>
    <w:lvl w:ilvl="5" w:tentative="0">
      <w:start w:val="1"/>
      <w:numFmt w:val="lowerRoman"/>
      <w:lvlText w:val="%6."/>
      <w:lvlJc w:val="right"/>
      <w:pPr>
        <w:tabs>
          <w:tab w:val="left" w:pos="2880"/>
        </w:tabs>
        <w:ind w:left="2880" w:hanging="420"/>
      </w:pPr>
    </w:lvl>
    <w:lvl w:ilvl="6" w:tentative="0">
      <w:start w:val="1"/>
      <w:numFmt w:val="decimal"/>
      <w:lvlText w:val="%7."/>
      <w:lvlJc w:val="left"/>
      <w:pPr>
        <w:tabs>
          <w:tab w:val="left" w:pos="3300"/>
        </w:tabs>
        <w:ind w:left="3300" w:hanging="420"/>
      </w:pPr>
    </w:lvl>
    <w:lvl w:ilvl="7" w:tentative="0">
      <w:start w:val="1"/>
      <w:numFmt w:val="lowerLetter"/>
      <w:lvlText w:val="%8)"/>
      <w:lvlJc w:val="left"/>
      <w:pPr>
        <w:tabs>
          <w:tab w:val="left" w:pos="3720"/>
        </w:tabs>
        <w:ind w:left="3720" w:hanging="420"/>
      </w:pPr>
    </w:lvl>
    <w:lvl w:ilvl="8" w:tentative="0">
      <w:start w:val="1"/>
      <w:numFmt w:val="lowerRoman"/>
      <w:lvlText w:val="%9."/>
      <w:lvlJc w:val="right"/>
      <w:pPr>
        <w:tabs>
          <w:tab w:val="left" w:pos="4140"/>
        </w:tabs>
        <w:ind w:left="4140" w:hanging="420"/>
      </w:pPr>
    </w:lvl>
  </w:abstractNum>
  <w:abstractNum w:abstractNumId="2">
    <w:nsid w:val="18D00E01"/>
    <w:multiLevelType w:val="multilevel"/>
    <w:tmpl w:val="18D00E01"/>
    <w:lvl w:ilvl="0" w:tentative="0">
      <w:start w:val="1"/>
      <w:numFmt w:val="lowerLetter"/>
      <w:lvlText w:val="%1)"/>
      <w:lvlJc w:val="left"/>
      <w:pPr>
        <w:ind w:left="840" w:hanging="420"/>
      </w:pPr>
    </w:lvl>
    <w:lvl w:ilvl="1" w:tentative="0">
      <w:start w:val="1"/>
      <w:numFmt w:val="lowerLetter"/>
      <w:lvlText w:val="%2)"/>
      <w:lvlJc w:val="left"/>
      <w:pPr>
        <w:ind w:left="1260" w:hanging="420"/>
      </w:pPr>
    </w:lvl>
    <w:lvl w:ilvl="2" w:tentative="0">
      <w:start w:val="1"/>
      <w:numFmt w:val="lowerRoman"/>
      <w:lvlText w:val="%3."/>
      <w:lvlJc w:val="right"/>
      <w:pPr>
        <w:ind w:left="1680" w:hanging="420"/>
      </w:pPr>
    </w:lvl>
    <w:lvl w:ilvl="3" w:tentative="0">
      <w:start w:val="1"/>
      <w:numFmt w:val="decimal"/>
      <w:lvlText w:val="%4."/>
      <w:lvlJc w:val="left"/>
      <w:pPr>
        <w:ind w:left="2100" w:hanging="420"/>
      </w:pPr>
    </w:lvl>
    <w:lvl w:ilvl="4" w:tentative="0">
      <w:start w:val="1"/>
      <w:numFmt w:val="lowerLetter"/>
      <w:lvlText w:val="%5)"/>
      <w:lvlJc w:val="left"/>
      <w:pPr>
        <w:ind w:left="2520" w:hanging="420"/>
      </w:pPr>
    </w:lvl>
    <w:lvl w:ilvl="5" w:tentative="0">
      <w:start w:val="1"/>
      <w:numFmt w:val="lowerRoman"/>
      <w:lvlText w:val="%6."/>
      <w:lvlJc w:val="right"/>
      <w:pPr>
        <w:ind w:left="2940" w:hanging="420"/>
      </w:pPr>
    </w:lvl>
    <w:lvl w:ilvl="6" w:tentative="0">
      <w:start w:val="1"/>
      <w:numFmt w:val="decimal"/>
      <w:lvlText w:val="%7."/>
      <w:lvlJc w:val="left"/>
      <w:pPr>
        <w:ind w:left="3360" w:hanging="420"/>
      </w:pPr>
    </w:lvl>
    <w:lvl w:ilvl="7" w:tentative="0">
      <w:start w:val="1"/>
      <w:numFmt w:val="lowerLetter"/>
      <w:lvlText w:val="%8)"/>
      <w:lvlJc w:val="left"/>
      <w:pPr>
        <w:ind w:left="3780" w:hanging="420"/>
      </w:pPr>
    </w:lvl>
    <w:lvl w:ilvl="8" w:tentative="0">
      <w:start w:val="1"/>
      <w:numFmt w:val="lowerRoman"/>
      <w:lvlText w:val="%9."/>
      <w:lvlJc w:val="right"/>
      <w:pPr>
        <w:ind w:left="4200" w:hanging="420"/>
      </w:pPr>
    </w:lvl>
  </w:abstractNum>
  <w:abstractNum w:abstractNumId="3">
    <w:nsid w:val="19947EAE"/>
    <w:multiLevelType w:val="multilevel"/>
    <w:tmpl w:val="19947EAE"/>
    <w:lvl w:ilvl="0" w:tentative="0">
      <w:start w:val="1"/>
      <w:numFmt w:val="lowerLetter"/>
      <w:lvlText w:val="%1)"/>
      <w:lvlJc w:val="left"/>
      <w:pPr>
        <w:tabs>
          <w:tab w:val="left" w:pos="1050"/>
        </w:tabs>
        <w:ind w:left="1050" w:hanging="690"/>
      </w:pPr>
      <w:rPr>
        <w:rFonts w:hint="eastAsia"/>
      </w:rPr>
    </w:lvl>
    <w:lvl w:ilvl="1" w:tentative="0">
      <w:start w:val="1"/>
      <w:numFmt w:val="decimal"/>
      <w:lvlText w:val="%2）"/>
      <w:lvlJc w:val="left"/>
      <w:pPr>
        <w:tabs>
          <w:tab w:val="left" w:pos="1140"/>
        </w:tabs>
        <w:ind w:left="1140" w:hanging="360"/>
      </w:pPr>
      <w:rPr>
        <w:rFonts w:hint="eastAsia"/>
      </w:rPr>
    </w:lvl>
    <w:lvl w:ilvl="2" w:tentative="0">
      <w:start w:val="1"/>
      <w:numFmt w:val="lowerRoman"/>
      <w:lvlText w:val="%3."/>
      <w:lvlJc w:val="right"/>
      <w:pPr>
        <w:tabs>
          <w:tab w:val="left" w:pos="1620"/>
        </w:tabs>
        <w:ind w:left="1620" w:hanging="420"/>
      </w:pPr>
    </w:lvl>
    <w:lvl w:ilvl="3" w:tentative="0">
      <w:start w:val="1"/>
      <w:numFmt w:val="decimal"/>
      <w:lvlText w:val="%4."/>
      <w:lvlJc w:val="left"/>
      <w:pPr>
        <w:tabs>
          <w:tab w:val="left" w:pos="2040"/>
        </w:tabs>
        <w:ind w:left="2040" w:hanging="420"/>
      </w:pPr>
    </w:lvl>
    <w:lvl w:ilvl="4" w:tentative="0">
      <w:start w:val="1"/>
      <w:numFmt w:val="lowerLetter"/>
      <w:lvlText w:val="%5)"/>
      <w:lvlJc w:val="left"/>
      <w:pPr>
        <w:tabs>
          <w:tab w:val="left" w:pos="2460"/>
        </w:tabs>
        <w:ind w:left="2460" w:hanging="420"/>
      </w:pPr>
    </w:lvl>
    <w:lvl w:ilvl="5" w:tentative="0">
      <w:start w:val="1"/>
      <w:numFmt w:val="lowerRoman"/>
      <w:lvlText w:val="%6."/>
      <w:lvlJc w:val="right"/>
      <w:pPr>
        <w:tabs>
          <w:tab w:val="left" w:pos="2880"/>
        </w:tabs>
        <w:ind w:left="2880" w:hanging="420"/>
      </w:pPr>
    </w:lvl>
    <w:lvl w:ilvl="6" w:tentative="0">
      <w:start w:val="1"/>
      <w:numFmt w:val="decimal"/>
      <w:lvlText w:val="%7."/>
      <w:lvlJc w:val="left"/>
      <w:pPr>
        <w:tabs>
          <w:tab w:val="left" w:pos="3300"/>
        </w:tabs>
        <w:ind w:left="3300" w:hanging="420"/>
      </w:pPr>
    </w:lvl>
    <w:lvl w:ilvl="7" w:tentative="0">
      <w:start w:val="1"/>
      <w:numFmt w:val="lowerLetter"/>
      <w:lvlText w:val="%8)"/>
      <w:lvlJc w:val="left"/>
      <w:pPr>
        <w:tabs>
          <w:tab w:val="left" w:pos="3720"/>
        </w:tabs>
        <w:ind w:left="3720" w:hanging="420"/>
      </w:pPr>
    </w:lvl>
    <w:lvl w:ilvl="8" w:tentative="0">
      <w:start w:val="1"/>
      <w:numFmt w:val="lowerRoman"/>
      <w:lvlText w:val="%9."/>
      <w:lvlJc w:val="right"/>
      <w:pPr>
        <w:tabs>
          <w:tab w:val="left" w:pos="4140"/>
        </w:tabs>
        <w:ind w:left="4140" w:hanging="420"/>
      </w:pPr>
    </w:lvl>
  </w:abstractNum>
  <w:abstractNum w:abstractNumId="4">
    <w:nsid w:val="1A69658B"/>
    <w:multiLevelType w:val="multilevel"/>
    <w:tmpl w:val="1A69658B"/>
    <w:lvl w:ilvl="0" w:tentative="0">
      <w:start w:val="1"/>
      <w:numFmt w:val="lowerLetter"/>
      <w:lvlText w:val="%1)"/>
      <w:lvlJc w:val="left"/>
      <w:pPr>
        <w:ind w:left="1620" w:hanging="420"/>
      </w:pPr>
    </w:lvl>
    <w:lvl w:ilvl="1" w:tentative="0">
      <w:start w:val="1"/>
      <w:numFmt w:val="decimal"/>
      <w:lvlText w:val="%2)"/>
      <w:lvlJc w:val="left"/>
      <w:pPr>
        <w:ind w:left="1980" w:hanging="360"/>
      </w:pPr>
      <w:rPr>
        <w:rFonts w:hint="default"/>
      </w:rPr>
    </w:lvl>
    <w:lvl w:ilvl="2" w:tentative="0">
      <w:start w:val="1"/>
      <w:numFmt w:val="lowerRoman"/>
      <w:lvlText w:val="%3."/>
      <w:lvlJc w:val="right"/>
      <w:pPr>
        <w:ind w:left="2460" w:hanging="420"/>
      </w:pPr>
    </w:lvl>
    <w:lvl w:ilvl="3" w:tentative="0">
      <w:start w:val="1"/>
      <w:numFmt w:val="decimal"/>
      <w:lvlText w:val="%4."/>
      <w:lvlJc w:val="left"/>
      <w:pPr>
        <w:ind w:left="2880" w:hanging="420"/>
      </w:pPr>
    </w:lvl>
    <w:lvl w:ilvl="4" w:tentative="0">
      <w:start w:val="1"/>
      <w:numFmt w:val="lowerLetter"/>
      <w:lvlText w:val="%5)"/>
      <w:lvlJc w:val="left"/>
      <w:pPr>
        <w:ind w:left="3300" w:hanging="420"/>
      </w:pPr>
    </w:lvl>
    <w:lvl w:ilvl="5" w:tentative="0">
      <w:start w:val="1"/>
      <w:numFmt w:val="lowerRoman"/>
      <w:lvlText w:val="%6."/>
      <w:lvlJc w:val="right"/>
      <w:pPr>
        <w:ind w:left="3720" w:hanging="420"/>
      </w:pPr>
    </w:lvl>
    <w:lvl w:ilvl="6" w:tentative="0">
      <w:start w:val="1"/>
      <w:numFmt w:val="decimal"/>
      <w:lvlText w:val="%7."/>
      <w:lvlJc w:val="left"/>
      <w:pPr>
        <w:ind w:left="4140" w:hanging="420"/>
      </w:pPr>
    </w:lvl>
    <w:lvl w:ilvl="7" w:tentative="0">
      <w:start w:val="1"/>
      <w:numFmt w:val="lowerLetter"/>
      <w:lvlText w:val="%8)"/>
      <w:lvlJc w:val="left"/>
      <w:pPr>
        <w:ind w:left="4560" w:hanging="420"/>
      </w:pPr>
    </w:lvl>
    <w:lvl w:ilvl="8" w:tentative="0">
      <w:start w:val="1"/>
      <w:numFmt w:val="lowerRoman"/>
      <w:lvlText w:val="%9."/>
      <w:lvlJc w:val="right"/>
      <w:pPr>
        <w:ind w:left="4980" w:hanging="420"/>
      </w:pPr>
    </w:lvl>
  </w:abstractNum>
  <w:abstractNum w:abstractNumId="5">
    <w:nsid w:val="1C115ED4"/>
    <w:multiLevelType w:val="multilevel"/>
    <w:tmpl w:val="1C115ED4"/>
    <w:lvl w:ilvl="0" w:tentative="0">
      <w:start w:val="1"/>
      <w:numFmt w:val="lowerLetter"/>
      <w:lvlText w:val="%1)"/>
      <w:lvlJc w:val="left"/>
      <w:pPr>
        <w:ind w:left="840" w:hanging="420"/>
      </w:pPr>
    </w:lvl>
    <w:lvl w:ilvl="1" w:tentative="0">
      <w:start w:val="1"/>
      <w:numFmt w:val="lowerLetter"/>
      <w:lvlText w:val="%2)"/>
      <w:lvlJc w:val="left"/>
      <w:pPr>
        <w:ind w:left="1260" w:hanging="420"/>
      </w:pPr>
    </w:lvl>
    <w:lvl w:ilvl="2" w:tentative="0">
      <w:start w:val="1"/>
      <w:numFmt w:val="lowerRoman"/>
      <w:lvlText w:val="%3."/>
      <w:lvlJc w:val="right"/>
      <w:pPr>
        <w:ind w:left="1680" w:hanging="420"/>
      </w:pPr>
    </w:lvl>
    <w:lvl w:ilvl="3" w:tentative="0">
      <w:start w:val="1"/>
      <w:numFmt w:val="decimal"/>
      <w:lvlText w:val="%4."/>
      <w:lvlJc w:val="left"/>
      <w:pPr>
        <w:ind w:left="2100" w:hanging="420"/>
      </w:pPr>
    </w:lvl>
    <w:lvl w:ilvl="4" w:tentative="0">
      <w:start w:val="1"/>
      <w:numFmt w:val="lowerLetter"/>
      <w:lvlText w:val="%5)"/>
      <w:lvlJc w:val="left"/>
      <w:pPr>
        <w:ind w:left="2520" w:hanging="420"/>
      </w:pPr>
    </w:lvl>
    <w:lvl w:ilvl="5" w:tentative="0">
      <w:start w:val="1"/>
      <w:numFmt w:val="lowerRoman"/>
      <w:lvlText w:val="%6."/>
      <w:lvlJc w:val="right"/>
      <w:pPr>
        <w:ind w:left="2940" w:hanging="420"/>
      </w:pPr>
    </w:lvl>
    <w:lvl w:ilvl="6" w:tentative="0">
      <w:start w:val="1"/>
      <w:numFmt w:val="decimal"/>
      <w:lvlText w:val="%7."/>
      <w:lvlJc w:val="left"/>
      <w:pPr>
        <w:ind w:left="3360" w:hanging="420"/>
      </w:pPr>
    </w:lvl>
    <w:lvl w:ilvl="7" w:tentative="0">
      <w:start w:val="1"/>
      <w:numFmt w:val="lowerLetter"/>
      <w:lvlText w:val="%8)"/>
      <w:lvlJc w:val="left"/>
      <w:pPr>
        <w:ind w:left="3780" w:hanging="420"/>
      </w:pPr>
    </w:lvl>
    <w:lvl w:ilvl="8" w:tentative="0">
      <w:start w:val="1"/>
      <w:numFmt w:val="lowerRoman"/>
      <w:lvlText w:val="%9."/>
      <w:lvlJc w:val="right"/>
      <w:pPr>
        <w:ind w:left="4200" w:hanging="420"/>
      </w:pPr>
    </w:lvl>
  </w:abstractNum>
  <w:abstractNum w:abstractNumId="6">
    <w:nsid w:val="22710C3E"/>
    <w:multiLevelType w:val="multilevel"/>
    <w:tmpl w:val="22710C3E"/>
    <w:lvl w:ilvl="0" w:tentative="0">
      <w:start w:val="1"/>
      <w:numFmt w:val="lowerLetter"/>
      <w:lvlText w:val="%1)"/>
      <w:lvlJc w:val="left"/>
      <w:pPr>
        <w:tabs>
          <w:tab w:val="left" w:pos="720"/>
        </w:tabs>
        <w:ind w:left="720" w:hanging="360"/>
      </w:pPr>
      <w:rPr>
        <w:rFonts w:hint="eastAsia"/>
      </w:rPr>
    </w:lvl>
    <w:lvl w:ilvl="1" w:tentative="0">
      <w:start w:val="1"/>
      <w:numFmt w:val="lowerLetter"/>
      <w:lvlText w:val="%2)"/>
      <w:lvlJc w:val="left"/>
      <w:pPr>
        <w:tabs>
          <w:tab w:val="left" w:pos="1200"/>
        </w:tabs>
        <w:ind w:left="1200" w:hanging="420"/>
      </w:pPr>
    </w:lvl>
    <w:lvl w:ilvl="2" w:tentative="0">
      <w:start w:val="1"/>
      <w:numFmt w:val="lowerRoman"/>
      <w:lvlText w:val="%3."/>
      <w:lvlJc w:val="right"/>
      <w:pPr>
        <w:tabs>
          <w:tab w:val="left" w:pos="1620"/>
        </w:tabs>
        <w:ind w:left="1620" w:hanging="420"/>
      </w:pPr>
    </w:lvl>
    <w:lvl w:ilvl="3" w:tentative="0">
      <w:start w:val="1"/>
      <w:numFmt w:val="decimal"/>
      <w:lvlText w:val="%4."/>
      <w:lvlJc w:val="left"/>
      <w:pPr>
        <w:tabs>
          <w:tab w:val="left" w:pos="2040"/>
        </w:tabs>
        <w:ind w:left="2040" w:hanging="420"/>
      </w:pPr>
    </w:lvl>
    <w:lvl w:ilvl="4" w:tentative="0">
      <w:start w:val="1"/>
      <w:numFmt w:val="lowerLetter"/>
      <w:lvlText w:val="%5)"/>
      <w:lvlJc w:val="left"/>
      <w:pPr>
        <w:tabs>
          <w:tab w:val="left" w:pos="2460"/>
        </w:tabs>
        <w:ind w:left="2460" w:hanging="420"/>
      </w:pPr>
    </w:lvl>
    <w:lvl w:ilvl="5" w:tentative="0">
      <w:start w:val="1"/>
      <w:numFmt w:val="lowerRoman"/>
      <w:lvlText w:val="%6."/>
      <w:lvlJc w:val="right"/>
      <w:pPr>
        <w:tabs>
          <w:tab w:val="left" w:pos="2880"/>
        </w:tabs>
        <w:ind w:left="2880" w:hanging="420"/>
      </w:pPr>
    </w:lvl>
    <w:lvl w:ilvl="6" w:tentative="0">
      <w:start w:val="1"/>
      <w:numFmt w:val="decimal"/>
      <w:lvlText w:val="%7."/>
      <w:lvlJc w:val="left"/>
      <w:pPr>
        <w:tabs>
          <w:tab w:val="left" w:pos="3300"/>
        </w:tabs>
        <w:ind w:left="3300" w:hanging="420"/>
      </w:pPr>
    </w:lvl>
    <w:lvl w:ilvl="7" w:tentative="0">
      <w:start w:val="1"/>
      <w:numFmt w:val="lowerLetter"/>
      <w:lvlText w:val="%8)"/>
      <w:lvlJc w:val="left"/>
      <w:pPr>
        <w:tabs>
          <w:tab w:val="left" w:pos="3720"/>
        </w:tabs>
        <w:ind w:left="3720" w:hanging="420"/>
      </w:pPr>
    </w:lvl>
    <w:lvl w:ilvl="8" w:tentative="0">
      <w:start w:val="1"/>
      <w:numFmt w:val="lowerRoman"/>
      <w:lvlText w:val="%9."/>
      <w:lvlJc w:val="right"/>
      <w:pPr>
        <w:tabs>
          <w:tab w:val="left" w:pos="4140"/>
        </w:tabs>
        <w:ind w:left="4140" w:hanging="420"/>
      </w:pPr>
    </w:lvl>
  </w:abstractNum>
  <w:abstractNum w:abstractNumId="7">
    <w:nsid w:val="230C3AAD"/>
    <w:multiLevelType w:val="multilevel"/>
    <w:tmpl w:val="230C3AAD"/>
    <w:lvl w:ilvl="0" w:tentative="0">
      <w:start w:val="1"/>
      <w:numFmt w:val="lowerLetter"/>
      <w:lvlText w:val="%1)"/>
      <w:lvlJc w:val="left"/>
      <w:pPr>
        <w:tabs>
          <w:tab w:val="left" w:pos="719"/>
        </w:tabs>
        <w:ind w:left="719" w:hanging="360"/>
      </w:pPr>
      <w:rPr>
        <w:rFonts w:hint="eastAsia"/>
      </w:rPr>
    </w:lvl>
    <w:lvl w:ilvl="1" w:tentative="0">
      <w:start w:val="1"/>
      <w:numFmt w:val="lowerLetter"/>
      <w:lvlText w:val="%2)"/>
      <w:lvlJc w:val="left"/>
      <w:pPr>
        <w:tabs>
          <w:tab w:val="left" w:pos="1199"/>
        </w:tabs>
        <w:ind w:left="1199" w:hanging="420"/>
      </w:pPr>
    </w:lvl>
    <w:lvl w:ilvl="2" w:tentative="0">
      <w:start w:val="1"/>
      <w:numFmt w:val="lowerRoman"/>
      <w:lvlText w:val="%3."/>
      <w:lvlJc w:val="right"/>
      <w:pPr>
        <w:tabs>
          <w:tab w:val="left" w:pos="1619"/>
        </w:tabs>
        <w:ind w:left="1619" w:hanging="420"/>
      </w:pPr>
    </w:lvl>
    <w:lvl w:ilvl="3" w:tentative="0">
      <w:start w:val="1"/>
      <w:numFmt w:val="decimal"/>
      <w:lvlText w:val="%4."/>
      <w:lvlJc w:val="left"/>
      <w:pPr>
        <w:tabs>
          <w:tab w:val="left" w:pos="2039"/>
        </w:tabs>
        <w:ind w:left="2039" w:hanging="420"/>
      </w:pPr>
    </w:lvl>
    <w:lvl w:ilvl="4" w:tentative="0">
      <w:start w:val="1"/>
      <w:numFmt w:val="lowerLetter"/>
      <w:lvlText w:val="%5)"/>
      <w:lvlJc w:val="left"/>
      <w:pPr>
        <w:tabs>
          <w:tab w:val="left" w:pos="2459"/>
        </w:tabs>
        <w:ind w:left="2459" w:hanging="420"/>
      </w:pPr>
    </w:lvl>
    <w:lvl w:ilvl="5" w:tentative="0">
      <w:start w:val="1"/>
      <w:numFmt w:val="lowerRoman"/>
      <w:lvlText w:val="%6."/>
      <w:lvlJc w:val="right"/>
      <w:pPr>
        <w:tabs>
          <w:tab w:val="left" w:pos="2879"/>
        </w:tabs>
        <w:ind w:left="2879" w:hanging="420"/>
      </w:pPr>
    </w:lvl>
    <w:lvl w:ilvl="6" w:tentative="0">
      <w:start w:val="1"/>
      <w:numFmt w:val="decimal"/>
      <w:lvlText w:val="%7."/>
      <w:lvlJc w:val="left"/>
      <w:pPr>
        <w:tabs>
          <w:tab w:val="left" w:pos="3299"/>
        </w:tabs>
        <w:ind w:left="3299" w:hanging="420"/>
      </w:pPr>
    </w:lvl>
    <w:lvl w:ilvl="7" w:tentative="0">
      <w:start w:val="1"/>
      <w:numFmt w:val="lowerLetter"/>
      <w:lvlText w:val="%8)"/>
      <w:lvlJc w:val="left"/>
      <w:pPr>
        <w:tabs>
          <w:tab w:val="left" w:pos="3719"/>
        </w:tabs>
        <w:ind w:left="3719" w:hanging="420"/>
      </w:pPr>
    </w:lvl>
    <w:lvl w:ilvl="8" w:tentative="0">
      <w:start w:val="1"/>
      <w:numFmt w:val="lowerRoman"/>
      <w:lvlText w:val="%9."/>
      <w:lvlJc w:val="right"/>
      <w:pPr>
        <w:tabs>
          <w:tab w:val="left" w:pos="4139"/>
        </w:tabs>
        <w:ind w:left="4139" w:hanging="420"/>
      </w:pPr>
    </w:lvl>
  </w:abstractNum>
  <w:abstractNum w:abstractNumId="8">
    <w:nsid w:val="2377533A"/>
    <w:multiLevelType w:val="multilevel"/>
    <w:tmpl w:val="2377533A"/>
    <w:lvl w:ilvl="0" w:tentative="0">
      <w:start w:val="1"/>
      <w:numFmt w:val="lowerLetter"/>
      <w:lvlText w:val="%1)"/>
      <w:lvlJc w:val="left"/>
      <w:pPr>
        <w:tabs>
          <w:tab w:val="left" w:pos="719"/>
        </w:tabs>
        <w:ind w:left="719" w:hanging="360"/>
      </w:pPr>
      <w:rPr>
        <w:rFonts w:hint="eastAsia"/>
      </w:rPr>
    </w:lvl>
    <w:lvl w:ilvl="1" w:tentative="0">
      <w:start w:val="1"/>
      <w:numFmt w:val="lowerLetter"/>
      <w:lvlText w:val="%2)"/>
      <w:lvlJc w:val="left"/>
      <w:pPr>
        <w:tabs>
          <w:tab w:val="left" w:pos="1199"/>
        </w:tabs>
        <w:ind w:left="1199" w:hanging="420"/>
      </w:pPr>
    </w:lvl>
    <w:lvl w:ilvl="2" w:tentative="0">
      <w:start w:val="1"/>
      <w:numFmt w:val="lowerRoman"/>
      <w:lvlText w:val="%3."/>
      <w:lvlJc w:val="right"/>
      <w:pPr>
        <w:tabs>
          <w:tab w:val="left" w:pos="1619"/>
        </w:tabs>
        <w:ind w:left="1619" w:hanging="420"/>
      </w:pPr>
    </w:lvl>
    <w:lvl w:ilvl="3" w:tentative="0">
      <w:start w:val="1"/>
      <w:numFmt w:val="decimal"/>
      <w:lvlText w:val="%4."/>
      <w:lvlJc w:val="left"/>
      <w:pPr>
        <w:tabs>
          <w:tab w:val="left" w:pos="2039"/>
        </w:tabs>
        <w:ind w:left="2039" w:hanging="420"/>
      </w:pPr>
    </w:lvl>
    <w:lvl w:ilvl="4" w:tentative="0">
      <w:start w:val="1"/>
      <w:numFmt w:val="lowerLetter"/>
      <w:lvlText w:val="%5)"/>
      <w:lvlJc w:val="left"/>
      <w:pPr>
        <w:tabs>
          <w:tab w:val="left" w:pos="2459"/>
        </w:tabs>
        <w:ind w:left="2459" w:hanging="420"/>
      </w:pPr>
    </w:lvl>
    <w:lvl w:ilvl="5" w:tentative="0">
      <w:start w:val="1"/>
      <w:numFmt w:val="lowerRoman"/>
      <w:lvlText w:val="%6."/>
      <w:lvlJc w:val="right"/>
      <w:pPr>
        <w:tabs>
          <w:tab w:val="left" w:pos="2879"/>
        </w:tabs>
        <w:ind w:left="2879" w:hanging="420"/>
      </w:pPr>
    </w:lvl>
    <w:lvl w:ilvl="6" w:tentative="0">
      <w:start w:val="1"/>
      <w:numFmt w:val="decimal"/>
      <w:lvlText w:val="%7."/>
      <w:lvlJc w:val="left"/>
      <w:pPr>
        <w:tabs>
          <w:tab w:val="left" w:pos="3299"/>
        </w:tabs>
        <w:ind w:left="3299" w:hanging="420"/>
      </w:pPr>
    </w:lvl>
    <w:lvl w:ilvl="7" w:tentative="0">
      <w:start w:val="1"/>
      <w:numFmt w:val="lowerLetter"/>
      <w:lvlText w:val="%8)"/>
      <w:lvlJc w:val="left"/>
      <w:pPr>
        <w:tabs>
          <w:tab w:val="left" w:pos="3719"/>
        </w:tabs>
        <w:ind w:left="3719" w:hanging="420"/>
      </w:pPr>
    </w:lvl>
    <w:lvl w:ilvl="8" w:tentative="0">
      <w:start w:val="1"/>
      <w:numFmt w:val="lowerRoman"/>
      <w:lvlText w:val="%9."/>
      <w:lvlJc w:val="right"/>
      <w:pPr>
        <w:tabs>
          <w:tab w:val="left" w:pos="4139"/>
        </w:tabs>
        <w:ind w:left="4139" w:hanging="420"/>
      </w:pPr>
    </w:lvl>
  </w:abstractNum>
  <w:abstractNum w:abstractNumId="9">
    <w:nsid w:val="27D53D6C"/>
    <w:multiLevelType w:val="multilevel"/>
    <w:tmpl w:val="27D53D6C"/>
    <w:lvl w:ilvl="0" w:tentative="0">
      <w:start w:val="1"/>
      <w:numFmt w:val="lowerLetter"/>
      <w:lvlText w:val="%1)"/>
      <w:lvlJc w:val="left"/>
      <w:pPr>
        <w:ind w:left="840" w:hanging="420"/>
      </w:pPr>
      <w:rPr>
        <w:rFonts w:hint="default"/>
      </w:rPr>
    </w:lvl>
    <w:lvl w:ilvl="1" w:tentative="0">
      <w:start w:val="1"/>
      <w:numFmt w:val="bullet"/>
      <w:lvlText w:val=""/>
      <w:lvlJc w:val="left"/>
      <w:pPr>
        <w:ind w:left="1260" w:hanging="420"/>
      </w:pPr>
      <w:rPr>
        <w:rFonts w:hint="default" w:ascii="Wingdings" w:hAnsi="Wingdings"/>
      </w:rPr>
    </w:lvl>
    <w:lvl w:ilvl="2" w:tentative="0">
      <w:start w:val="1"/>
      <w:numFmt w:val="bullet"/>
      <w:lvlText w:val=""/>
      <w:lvlJc w:val="left"/>
      <w:pPr>
        <w:ind w:left="1680" w:hanging="420"/>
      </w:pPr>
      <w:rPr>
        <w:rFonts w:hint="default" w:ascii="Wingdings" w:hAnsi="Wingdings"/>
      </w:rPr>
    </w:lvl>
    <w:lvl w:ilvl="3" w:tentative="0">
      <w:start w:val="1"/>
      <w:numFmt w:val="bullet"/>
      <w:lvlText w:val=""/>
      <w:lvlJc w:val="left"/>
      <w:pPr>
        <w:ind w:left="2100" w:hanging="420"/>
      </w:pPr>
      <w:rPr>
        <w:rFonts w:hint="default" w:ascii="Wingdings" w:hAnsi="Wingdings"/>
      </w:rPr>
    </w:lvl>
    <w:lvl w:ilvl="4" w:tentative="0">
      <w:start w:val="1"/>
      <w:numFmt w:val="bullet"/>
      <w:lvlText w:val=""/>
      <w:lvlJc w:val="left"/>
      <w:pPr>
        <w:ind w:left="2520" w:hanging="420"/>
      </w:pPr>
      <w:rPr>
        <w:rFonts w:hint="default" w:ascii="Wingdings" w:hAnsi="Wingdings"/>
      </w:rPr>
    </w:lvl>
    <w:lvl w:ilvl="5" w:tentative="0">
      <w:start w:val="1"/>
      <w:numFmt w:val="bullet"/>
      <w:lvlText w:val=""/>
      <w:lvlJc w:val="left"/>
      <w:pPr>
        <w:ind w:left="2940" w:hanging="420"/>
      </w:pPr>
      <w:rPr>
        <w:rFonts w:hint="default" w:ascii="Wingdings" w:hAnsi="Wingdings"/>
      </w:rPr>
    </w:lvl>
    <w:lvl w:ilvl="6" w:tentative="0">
      <w:start w:val="1"/>
      <w:numFmt w:val="bullet"/>
      <w:lvlText w:val=""/>
      <w:lvlJc w:val="left"/>
      <w:pPr>
        <w:ind w:left="3360" w:hanging="420"/>
      </w:pPr>
      <w:rPr>
        <w:rFonts w:hint="default" w:ascii="Wingdings" w:hAnsi="Wingdings"/>
      </w:rPr>
    </w:lvl>
    <w:lvl w:ilvl="7" w:tentative="0">
      <w:start w:val="1"/>
      <w:numFmt w:val="bullet"/>
      <w:lvlText w:val=""/>
      <w:lvlJc w:val="left"/>
      <w:pPr>
        <w:ind w:left="3780" w:hanging="420"/>
      </w:pPr>
      <w:rPr>
        <w:rFonts w:hint="default" w:ascii="Wingdings" w:hAnsi="Wingdings"/>
      </w:rPr>
    </w:lvl>
    <w:lvl w:ilvl="8" w:tentative="0">
      <w:start w:val="1"/>
      <w:numFmt w:val="bullet"/>
      <w:lvlText w:val=""/>
      <w:lvlJc w:val="left"/>
      <w:pPr>
        <w:ind w:left="4200" w:hanging="420"/>
      </w:pPr>
      <w:rPr>
        <w:rFonts w:hint="default" w:ascii="Wingdings" w:hAnsi="Wingdings"/>
      </w:rPr>
    </w:lvl>
  </w:abstractNum>
  <w:abstractNum w:abstractNumId="10">
    <w:nsid w:val="2B81B5C1"/>
    <w:multiLevelType w:val="singleLevel"/>
    <w:tmpl w:val="2B81B5C1"/>
    <w:lvl w:ilvl="0" w:tentative="0">
      <w:start w:val="1"/>
      <w:numFmt w:val="decimal"/>
      <w:suff w:val="nothing"/>
      <w:lvlText w:val="（%1）"/>
      <w:lvlJc w:val="left"/>
    </w:lvl>
  </w:abstractNum>
  <w:abstractNum w:abstractNumId="11">
    <w:nsid w:val="348812AD"/>
    <w:multiLevelType w:val="multilevel"/>
    <w:tmpl w:val="348812AD"/>
    <w:lvl w:ilvl="0" w:tentative="0">
      <w:start w:val="4"/>
      <w:numFmt w:val="decimal"/>
      <w:lvlText w:val="（%1）"/>
      <w:lvlJc w:val="left"/>
      <w:pPr>
        <w:tabs>
          <w:tab w:val="left" w:pos="720"/>
        </w:tabs>
        <w:ind w:left="720" w:hanging="360"/>
      </w:pPr>
      <w:rPr>
        <w:rFonts w:hint="eastAsia"/>
      </w:rPr>
    </w:lvl>
    <w:lvl w:ilvl="1" w:tentative="0">
      <w:start w:val="1"/>
      <w:numFmt w:val="decimal"/>
      <w:lvlText w:val="%2."/>
      <w:lvlJc w:val="left"/>
      <w:pPr>
        <w:tabs>
          <w:tab w:val="left" w:pos="1440"/>
        </w:tabs>
        <w:ind w:left="1440" w:hanging="360"/>
      </w:pPr>
      <w:rPr>
        <w:rFonts w:hint="eastAsia"/>
      </w:rPr>
    </w:lvl>
    <w:lvl w:ilvl="2" w:tentative="0">
      <w:start w:val="1"/>
      <w:numFmt w:val="decimal"/>
      <w:lvlText w:val="%3."/>
      <w:lvlJc w:val="left"/>
      <w:pPr>
        <w:tabs>
          <w:tab w:val="left" w:pos="2160"/>
        </w:tabs>
        <w:ind w:left="2160" w:hanging="360"/>
      </w:pPr>
      <w:rPr>
        <w:rFonts w:hint="eastAsia"/>
      </w:rPr>
    </w:lvl>
    <w:lvl w:ilvl="3" w:tentative="0">
      <w:start w:val="1"/>
      <w:numFmt w:val="decimal"/>
      <w:lvlText w:val="%4."/>
      <w:lvlJc w:val="left"/>
      <w:pPr>
        <w:tabs>
          <w:tab w:val="left" w:pos="2880"/>
        </w:tabs>
        <w:ind w:left="2880" w:hanging="360"/>
      </w:pPr>
      <w:rPr>
        <w:rFonts w:hint="eastAsia"/>
      </w:rPr>
    </w:lvl>
    <w:lvl w:ilvl="4" w:tentative="0">
      <w:start w:val="1"/>
      <w:numFmt w:val="decimal"/>
      <w:lvlText w:val="%5."/>
      <w:lvlJc w:val="left"/>
      <w:pPr>
        <w:tabs>
          <w:tab w:val="left" w:pos="3600"/>
        </w:tabs>
        <w:ind w:left="3600" w:hanging="360"/>
      </w:pPr>
      <w:rPr>
        <w:rFonts w:hint="eastAsia"/>
      </w:rPr>
    </w:lvl>
    <w:lvl w:ilvl="5" w:tentative="0">
      <w:start w:val="1"/>
      <w:numFmt w:val="decimal"/>
      <w:lvlText w:val="%6."/>
      <w:lvlJc w:val="left"/>
      <w:pPr>
        <w:tabs>
          <w:tab w:val="left" w:pos="4320"/>
        </w:tabs>
        <w:ind w:left="4320" w:hanging="360"/>
      </w:pPr>
      <w:rPr>
        <w:rFonts w:hint="eastAsia"/>
      </w:rPr>
    </w:lvl>
    <w:lvl w:ilvl="6" w:tentative="0">
      <w:start w:val="1"/>
      <w:numFmt w:val="decimal"/>
      <w:lvlText w:val="%7."/>
      <w:lvlJc w:val="left"/>
      <w:pPr>
        <w:tabs>
          <w:tab w:val="left" w:pos="5040"/>
        </w:tabs>
        <w:ind w:left="5040" w:hanging="360"/>
      </w:pPr>
      <w:rPr>
        <w:rFonts w:hint="eastAsia"/>
      </w:rPr>
    </w:lvl>
    <w:lvl w:ilvl="7" w:tentative="0">
      <w:start w:val="1"/>
      <w:numFmt w:val="decimal"/>
      <w:lvlText w:val="%8."/>
      <w:lvlJc w:val="left"/>
      <w:pPr>
        <w:tabs>
          <w:tab w:val="left" w:pos="5760"/>
        </w:tabs>
        <w:ind w:left="5760" w:hanging="360"/>
      </w:pPr>
      <w:rPr>
        <w:rFonts w:hint="eastAsia"/>
      </w:rPr>
    </w:lvl>
    <w:lvl w:ilvl="8" w:tentative="0">
      <w:start w:val="1"/>
      <w:numFmt w:val="decimal"/>
      <w:lvlText w:val="%9."/>
      <w:lvlJc w:val="left"/>
      <w:pPr>
        <w:tabs>
          <w:tab w:val="left" w:pos="6480"/>
        </w:tabs>
        <w:ind w:left="6480" w:hanging="360"/>
      </w:pPr>
      <w:rPr>
        <w:rFonts w:hint="eastAsia"/>
      </w:rPr>
    </w:lvl>
  </w:abstractNum>
  <w:abstractNum w:abstractNumId="12">
    <w:nsid w:val="3557121C"/>
    <w:multiLevelType w:val="multilevel"/>
    <w:tmpl w:val="3557121C"/>
    <w:lvl w:ilvl="0" w:tentative="0">
      <w:start w:val="1"/>
      <w:numFmt w:val="lowerLetter"/>
      <w:lvlText w:val="%1)"/>
      <w:lvlJc w:val="left"/>
      <w:pPr>
        <w:ind w:left="840" w:hanging="420"/>
      </w:pPr>
    </w:lvl>
    <w:lvl w:ilvl="1" w:tentative="0">
      <w:start w:val="1"/>
      <w:numFmt w:val="lowerLetter"/>
      <w:lvlText w:val="%2)"/>
      <w:lvlJc w:val="left"/>
      <w:pPr>
        <w:ind w:left="1260" w:hanging="420"/>
      </w:pPr>
    </w:lvl>
    <w:lvl w:ilvl="2" w:tentative="0">
      <w:start w:val="1"/>
      <w:numFmt w:val="lowerRoman"/>
      <w:lvlText w:val="%3."/>
      <w:lvlJc w:val="right"/>
      <w:pPr>
        <w:ind w:left="1680" w:hanging="420"/>
      </w:pPr>
    </w:lvl>
    <w:lvl w:ilvl="3" w:tentative="0">
      <w:start w:val="1"/>
      <w:numFmt w:val="decimal"/>
      <w:lvlText w:val="%4."/>
      <w:lvlJc w:val="left"/>
      <w:pPr>
        <w:ind w:left="2100" w:hanging="420"/>
      </w:pPr>
    </w:lvl>
    <w:lvl w:ilvl="4" w:tentative="0">
      <w:start w:val="1"/>
      <w:numFmt w:val="lowerLetter"/>
      <w:lvlText w:val="%5)"/>
      <w:lvlJc w:val="left"/>
      <w:pPr>
        <w:ind w:left="2520" w:hanging="420"/>
      </w:pPr>
    </w:lvl>
    <w:lvl w:ilvl="5" w:tentative="0">
      <w:start w:val="1"/>
      <w:numFmt w:val="lowerRoman"/>
      <w:lvlText w:val="%6."/>
      <w:lvlJc w:val="right"/>
      <w:pPr>
        <w:ind w:left="2940" w:hanging="420"/>
      </w:pPr>
    </w:lvl>
    <w:lvl w:ilvl="6" w:tentative="0">
      <w:start w:val="1"/>
      <w:numFmt w:val="decimal"/>
      <w:lvlText w:val="%7."/>
      <w:lvlJc w:val="left"/>
      <w:pPr>
        <w:ind w:left="3360" w:hanging="420"/>
      </w:pPr>
    </w:lvl>
    <w:lvl w:ilvl="7" w:tentative="0">
      <w:start w:val="1"/>
      <w:numFmt w:val="lowerLetter"/>
      <w:lvlText w:val="%8)"/>
      <w:lvlJc w:val="left"/>
      <w:pPr>
        <w:ind w:left="3780" w:hanging="420"/>
      </w:pPr>
    </w:lvl>
    <w:lvl w:ilvl="8" w:tentative="0">
      <w:start w:val="1"/>
      <w:numFmt w:val="lowerRoman"/>
      <w:lvlText w:val="%9."/>
      <w:lvlJc w:val="right"/>
      <w:pPr>
        <w:ind w:left="4200" w:hanging="420"/>
      </w:pPr>
    </w:lvl>
  </w:abstractNum>
  <w:abstractNum w:abstractNumId="13">
    <w:nsid w:val="379D396D"/>
    <w:multiLevelType w:val="multilevel"/>
    <w:tmpl w:val="379D396D"/>
    <w:lvl w:ilvl="0" w:tentative="0">
      <w:start w:val="1"/>
      <w:numFmt w:val="lowerLetter"/>
      <w:lvlText w:val="%1)"/>
      <w:lvlJc w:val="left"/>
      <w:pPr>
        <w:ind w:left="900" w:hanging="420"/>
      </w:pPr>
    </w:lvl>
    <w:lvl w:ilvl="1" w:tentative="0">
      <w:start w:val="1"/>
      <w:numFmt w:val="lowerLetter"/>
      <w:lvlText w:val="%2)"/>
      <w:lvlJc w:val="left"/>
      <w:pPr>
        <w:ind w:left="1320" w:hanging="420"/>
      </w:pPr>
    </w:lvl>
    <w:lvl w:ilvl="2" w:tentative="0">
      <w:start w:val="1"/>
      <w:numFmt w:val="lowerRoman"/>
      <w:lvlText w:val="%3."/>
      <w:lvlJc w:val="right"/>
      <w:pPr>
        <w:ind w:left="1740" w:hanging="420"/>
      </w:pPr>
    </w:lvl>
    <w:lvl w:ilvl="3" w:tentative="0">
      <w:start w:val="1"/>
      <w:numFmt w:val="decimal"/>
      <w:lvlText w:val="%4."/>
      <w:lvlJc w:val="left"/>
      <w:pPr>
        <w:ind w:left="2160" w:hanging="420"/>
      </w:pPr>
    </w:lvl>
    <w:lvl w:ilvl="4" w:tentative="0">
      <w:start w:val="1"/>
      <w:numFmt w:val="lowerLetter"/>
      <w:lvlText w:val="%5)"/>
      <w:lvlJc w:val="left"/>
      <w:pPr>
        <w:ind w:left="2580" w:hanging="420"/>
      </w:pPr>
    </w:lvl>
    <w:lvl w:ilvl="5" w:tentative="0">
      <w:start w:val="1"/>
      <w:numFmt w:val="lowerRoman"/>
      <w:lvlText w:val="%6."/>
      <w:lvlJc w:val="right"/>
      <w:pPr>
        <w:ind w:left="3000" w:hanging="420"/>
      </w:pPr>
    </w:lvl>
    <w:lvl w:ilvl="6" w:tentative="0">
      <w:start w:val="1"/>
      <w:numFmt w:val="decimal"/>
      <w:lvlText w:val="%7."/>
      <w:lvlJc w:val="left"/>
      <w:pPr>
        <w:ind w:left="3420" w:hanging="420"/>
      </w:pPr>
    </w:lvl>
    <w:lvl w:ilvl="7" w:tentative="0">
      <w:start w:val="1"/>
      <w:numFmt w:val="lowerLetter"/>
      <w:lvlText w:val="%8)"/>
      <w:lvlJc w:val="left"/>
      <w:pPr>
        <w:ind w:left="3840" w:hanging="420"/>
      </w:pPr>
    </w:lvl>
    <w:lvl w:ilvl="8" w:tentative="0">
      <w:start w:val="1"/>
      <w:numFmt w:val="lowerRoman"/>
      <w:lvlText w:val="%9."/>
      <w:lvlJc w:val="right"/>
      <w:pPr>
        <w:ind w:left="4260" w:hanging="420"/>
      </w:pPr>
    </w:lvl>
  </w:abstractNum>
  <w:abstractNum w:abstractNumId="14">
    <w:nsid w:val="3B794E96"/>
    <w:multiLevelType w:val="multilevel"/>
    <w:tmpl w:val="3B794E96"/>
    <w:lvl w:ilvl="0" w:tentative="0">
      <w:start w:val="1"/>
      <w:numFmt w:val="lowerLetter"/>
      <w:lvlText w:val="%1)"/>
      <w:lvlJc w:val="left"/>
      <w:pPr>
        <w:ind w:left="840" w:hanging="420"/>
      </w:pPr>
    </w:lvl>
    <w:lvl w:ilvl="1" w:tentative="0">
      <w:start w:val="1"/>
      <w:numFmt w:val="lowerLetter"/>
      <w:lvlText w:val="%2)"/>
      <w:lvlJc w:val="left"/>
      <w:pPr>
        <w:ind w:left="1260" w:hanging="420"/>
      </w:pPr>
    </w:lvl>
    <w:lvl w:ilvl="2" w:tentative="0">
      <w:start w:val="1"/>
      <w:numFmt w:val="lowerRoman"/>
      <w:lvlText w:val="%3."/>
      <w:lvlJc w:val="right"/>
      <w:pPr>
        <w:ind w:left="1680" w:hanging="420"/>
      </w:pPr>
    </w:lvl>
    <w:lvl w:ilvl="3" w:tentative="0">
      <w:start w:val="1"/>
      <w:numFmt w:val="decimal"/>
      <w:lvlText w:val="%4."/>
      <w:lvlJc w:val="left"/>
      <w:pPr>
        <w:ind w:left="2100" w:hanging="420"/>
      </w:pPr>
    </w:lvl>
    <w:lvl w:ilvl="4" w:tentative="0">
      <w:start w:val="1"/>
      <w:numFmt w:val="lowerLetter"/>
      <w:lvlText w:val="%5)"/>
      <w:lvlJc w:val="left"/>
      <w:pPr>
        <w:ind w:left="2520" w:hanging="420"/>
      </w:pPr>
    </w:lvl>
    <w:lvl w:ilvl="5" w:tentative="0">
      <w:start w:val="1"/>
      <w:numFmt w:val="lowerRoman"/>
      <w:lvlText w:val="%6."/>
      <w:lvlJc w:val="right"/>
      <w:pPr>
        <w:ind w:left="2940" w:hanging="420"/>
      </w:pPr>
    </w:lvl>
    <w:lvl w:ilvl="6" w:tentative="0">
      <w:start w:val="1"/>
      <w:numFmt w:val="decimal"/>
      <w:lvlText w:val="%7."/>
      <w:lvlJc w:val="left"/>
      <w:pPr>
        <w:ind w:left="3360" w:hanging="420"/>
      </w:pPr>
    </w:lvl>
    <w:lvl w:ilvl="7" w:tentative="0">
      <w:start w:val="1"/>
      <w:numFmt w:val="lowerLetter"/>
      <w:lvlText w:val="%8)"/>
      <w:lvlJc w:val="left"/>
      <w:pPr>
        <w:ind w:left="3780" w:hanging="420"/>
      </w:pPr>
    </w:lvl>
    <w:lvl w:ilvl="8" w:tentative="0">
      <w:start w:val="1"/>
      <w:numFmt w:val="lowerRoman"/>
      <w:lvlText w:val="%9."/>
      <w:lvlJc w:val="right"/>
      <w:pPr>
        <w:ind w:left="4200" w:hanging="420"/>
      </w:pPr>
    </w:lvl>
  </w:abstractNum>
  <w:abstractNum w:abstractNumId="15">
    <w:nsid w:val="3C750C3D"/>
    <w:multiLevelType w:val="multilevel"/>
    <w:tmpl w:val="3C750C3D"/>
    <w:lvl w:ilvl="0" w:tentative="0">
      <w:start w:val="1"/>
      <w:numFmt w:val="lowerLetter"/>
      <w:lvlText w:val="%1)"/>
      <w:lvlJc w:val="left"/>
      <w:pPr>
        <w:ind w:left="420" w:hanging="420"/>
      </w:p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16">
    <w:nsid w:val="41C30C8A"/>
    <w:multiLevelType w:val="multilevel"/>
    <w:tmpl w:val="41C30C8A"/>
    <w:lvl w:ilvl="0" w:tentative="0">
      <w:start w:val="1"/>
      <w:numFmt w:val="lowerLetter"/>
      <w:lvlText w:val="%1)"/>
      <w:lvlJc w:val="left"/>
      <w:pPr>
        <w:tabs>
          <w:tab w:val="left" w:pos="719"/>
        </w:tabs>
        <w:ind w:left="719" w:hanging="360"/>
      </w:pPr>
      <w:rPr>
        <w:rFonts w:hint="eastAsia"/>
      </w:rPr>
    </w:lvl>
    <w:lvl w:ilvl="1" w:tentative="0">
      <w:start w:val="1"/>
      <w:numFmt w:val="lowerLetter"/>
      <w:lvlText w:val="%2)"/>
      <w:lvlJc w:val="left"/>
      <w:pPr>
        <w:tabs>
          <w:tab w:val="left" w:pos="1199"/>
        </w:tabs>
        <w:ind w:left="1199" w:hanging="420"/>
      </w:pPr>
    </w:lvl>
    <w:lvl w:ilvl="2" w:tentative="0">
      <w:start w:val="1"/>
      <w:numFmt w:val="lowerRoman"/>
      <w:lvlText w:val="%3."/>
      <w:lvlJc w:val="right"/>
      <w:pPr>
        <w:tabs>
          <w:tab w:val="left" w:pos="1619"/>
        </w:tabs>
        <w:ind w:left="1619" w:hanging="420"/>
      </w:pPr>
    </w:lvl>
    <w:lvl w:ilvl="3" w:tentative="0">
      <w:start w:val="1"/>
      <w:numFmt w:val="decimal"/>
      <w:lvlText w:val="%4."/>
      <w:lvlJc w:val="left"/>
      <w:pPr>
        <w:tabs>
          <w:tab w:val="left" w:pos="2039"/>
        </w:tabs>
        <w:ind w:left="2039" w:hanging="420"/>
      </w:pPr>
    </w:lvl>
    <w:lvl w:ilvl="4" w:tentative="0">
      <w:start w:val="1"/>
      <w:numFmt w:val="lowerLetter"/>
      <w:lvlText w:val="%5)"/>
      <w:lvlJc w:val="left"/>
      <w:pPr>
        <w:tabs>
          <w:tab w:val="left" w:pos="2459"/>
        </w:tabs>
        <w:ind w:left="2459" w:hanging="420"/>
      </w:pPr>
    </w:lvl>
    <w:lvl w:ilvl="5" w:tentative="0">
      <w:start w:val="1"/>
      <w:numFmt w:val="lowerRoman"/>
      <w:lvlText w:val="%6."/>
      <w:lvlJc w:val="right"/>
      <w:pPr>
        <w:tabs>
          <w:tab w:val="left" w:pos="2879"/>
        </w:tabs>
        <w:ind w:left="2879" w:hanging="420"/>
      </w:pPr>
    </w:lvl>
    <w:lvl w:ilvl="6" w:tentative="0">
      <w:start w:val="1"/>
      <w:numFmt w:val="decimal"/>
      <w:lvlText w:val="%7."/>
      <w:lvlJc w:val="left"/>
      <w:pPr>
        <w:tabs>
          <w:tab w:val="left" w:pos="3299"/>
        </w:tabs>
        <w:ind w:left="3299" w:hanging="420"/>
      </w:pPr>
    </w:lvl>
    <w:lvl w:ilvl="7" w:tentative="0">
      <w:start w:val="1"/>
      <w:numFmt w:val="lowerLetter"/>
      <w:lvlText w:val="%8)"/>
      <w:lvlJc w:val="left"/>
      <w:pPr>
        <w:tabs>
          <w:tab w:val="left" w:pos="3719"/>
        </w:tabs>
        <w:ind w:left="3719" w:hanging="420"/>
      </w:pPr>
    </w:lvl>
    <w:lvl w:ilvl="8" w:tentative="0">
      <w:start w:val="1"/>
      <w:numFmt w:val="lowerRoman"/>
      <w:lvlText w:val="%9."/>
      <w:lvlJc w:val="right"/>
      <w:pPr>
        <w:tabs>
          <w:tab w:val="left" w:pos="4139"/>
        </w:tabs>
        <w:ind w:left="4139" w:hanging="420"/>
      </w:pPr>
    </w:lvl>
  </w:abstractNum>
  <w:abstractNum w:abstractNumId="17">
    <w:nsid w:val="44F64B8B"/>
    <w:multiLevelType w:val="multilevel"/>
    <w:tmpl w:val="44F64B8B"/>
    <w:lvl w:ilvl="0" w:tentative="0">
      <w:start w:val="1"/>
      <w:numFmt w:val="lowerLetter"/>
      <w:lvlText w:val="%1)"/>
      <w:lvlJc w:val="left"/>
      <w:pPr>
        <w:ind w:left="840" w:hanging="420"/>
      </w:pPr>
    </w:lvl>
    <w:lvl w:ilvl="1" w:tentative="0">
      <w:start w:val="1"/>
      <w:numFmt w:val="lowerLetter"/>
      <w:lvlText w:val="%2)"/>
      <w:lvlJc w:val="left"/>
      <w:pPr>
        <w:ind w:left="1260" w:hanging="420"/>
      </w:pPr>
    </w:lvl>
    <w:lvl w:ilvl="2" w:tentative="0">
      <w:start w:val="1"/>
      <w:numFmt w:val="lowerRoman"/>
      <w:lvlText w:val="%3."/>
      <w:lvlJc w:val="right"/>
      <w:pPr>
        <w:ind w:left="1680" w:hanging="420"/>
      </w:pPr>
    </w:lvl>
    <w:lvl w:ilvl="3" w:tentative="0">
      <w:start w:val="1"/>
      <w:numFmt w:val="decimal"/>
      <w:lvlText w:val="%4."/>
      <w:lvlJc w:val="left"/>
      <w:pPr>
        <w:ind w:left="2100" w:hanging="420"/>
      </w:pPr>
    </w:lvl>
    <w:lvl w:ilvl="4" w:tentative="0">
      <w:start w:val="1"/>
      <w:numFmt w:val="lowerLetter"/>
      <w:lvlText w:val="%5)"/>
      <w:lvlJc w:val="left"/>
      <w:pPr>
        <w:ind w:left="2520" w:hanging="420"/>
      </w:pPr>
    </w:lvl>
    <w:lvl w:ilvl="5" w:tentative="0">
      <w:start w:val="1"/>
      <w:numFmt w:val="lowerRoman"/>
      <w:lvlText w:val="%6."/>
      <w:lvlJc w:val="right"/>
      <w:pPr>
        <w:ind w:left="2940" w:hanging="420"/>
      </w:pPr>
    </w:lvl>
    <w:lvl w:ilvl="6" w:tentative="0">
      <w:start w:val="1"/>
      <w:numFmt w:val="decimal"/>
      <w:lvlText w:val="%7."/>
      <w:lvlJc w:val="left"/>
      <w:pPr>
        <w:ind w:left="3360" w:hanging="420"/>
      </w:pPr>
    </w:lvl>
    <w:lvl w:ilvl="7" w:tentative="0">
      <w:start w:val="1"/>
      <w:numFmt w:val="lowerLetter"/>
      <w:lvlText w:val="%8)"/>
      <w:lvlJc w:val="left"/>
      <w:pPr>
        <w:ind w:left="3780" w:hanging="420"/>
      </w:pPr>
    </w:lvl>
    <w:lvl w:ilvl="8" w:tentative="0">
      <w:start w:val="1"/>
      <w:numFmt w:val="lowerRoman"/>
      <w:lvlText w:val="%9."/>
      <w:lvlJc w:val="right"/>
      <w:pPr>
        <w:ind w:left="4200" w:hanging="420"/>
      </w:pPr>
    </w:lvl>
  </w:abstractNum>
  <w:abstractNum w:abstractNumId="18">
    <w:nsid w:val="497A1F53"/>
    <w:multiLevelType w:val="multilevel"/>
    <w:tmpl w:val="497A1F53"/>
    <w:lvl w:ilvl="0" w:tentative="0">
      <w:start w:val="1"/>
      <w:numFmt w:val="lowerLetter"/>
      <w:lvlText w:val="%1)"/>
      <w:lvlJc w:val="left"/>
      <w:pPr>
        <w:tabs>
          <w:tab w:val="left" w:pos="720"/>
        </w:tabs>
        <w:ind w:left="720" w:hanging="360"/>
      </w:pPr>
      <w:rPr>
        <w:rFonts w:hint="eastAsia"/>
      </w:rPr>
    </w:lvl>
    <w:lvl w:ilvl="1" w:tentative="0">
      <w:start w:val="1"/>
      <w:numFmt w:val="lowerLetter"/>
      <w:lvlText w:val="%2)"/>
      <w:lvlJc w:val="left"/>
      <w:pPr>
        <w:tabs>
          <w:tab w:val="left" w:pos="1200"/>
        </w:tabs>
        <w:ind w:left="1200" w:hanging="420"/>
      </w:pPr>
    </w:lvl>
    <w:lvl w:ilvl="2" w:tentative="0">
      <w:start w:val="1"/>
      <w:numFmt w:val="lowerRoman"/>
      <w:lvlText w:val="%3."/>
      <w:lvlJc w:val="right"/>
      <w:pPr>
        <w:tabs>
          <w:tab w:val="left" w:pos="1620"/>
        </w:tabs>
        <w:ind w:left="1620" w:hanging="420"/>
      </w:pPr>
    </w:lvl>
    <w:lvl w:ilvl="3" w:tentative="0">
      <w:start w:val="1"/>
      <w:numFmt w:val="decimal"/>
      <w:lvlText w:val="%4."/>
      <w:lvlJc w:val="left"/>
      <w:pPr>
        <w:tabs>
          <w:tab w:val="left" w:pos="2040"/>
        </w:tabs>
        <w:ind w:left="2040" w:hanging="420"/>
      </w:pPr>
    </w:lvl>
    <w:lvl w:ilvl="4" w:tentative="0">
      <w:start w:val="1"/>
      <w:numFmt w:val="lowerLetter"/>
      <w:lvlText w:val="%5)"/>
      <w:lvlJc w:val="left"/>
      <w:pPr>
        <w:tabs>
          <w:tab w:val="left" w:pos="2460"/>
        </w:tabs>
        <w:ind w:left="2460" w:hanging="420"/>
      </w:pPr>
    </w:lvl>
    <w:lvl w:ilvl="5" w:tentative="0">
      <w:start w:val="1"/>
      <w:numFmt w:val="lowerRoman"/>
      <w:lvlText w:val="%6."/>
      <w:lvlJc w:val="right"/>
      <w:pPr>
        <w:tabs>
          <w:tab w:val="left" w:pos="2880"/>
        </w:tabs>
        <w:ind w:left="2880" w:hanging="420"/>
      </w:pPr>
    </w:lvl>
    <w:lvl w:ilvl="6" w:tentative="0">
      <w:start w:val="1"/>
      <w:numFmt w:val="decimal"/>
      <w:lvlText w:val="%7."/>
      <w:lvlJc w:val="left"/>
      <w:pPr>
        <w:tabs>
          <w:tab w:val="left" w:pos="3300"/>
        </w:tabs>
        <w:ind w:left="3300" w:hanging="420"/>
      </w:pPr>
    </w:lvl>
    <w:lvl w:ilvl="7" w:tentative="0">
      <w:start w:val="1"/>
      <w:numFmt w:val="lowerLetter"/>
      <w:lvlText w:val="%8)"/>
      <w:lvlJc w:val="left"/>
      <w:pPr>
        <w:tabs>
          <w:tab w:val="left" w:pos="3720"/>
        </w:tabs>
        <w:ind w:left="3720" w:hanging="420"/>
      </w:pPr>
    </w:lvl>
    <w:lvl w:ilvl="8" w:tentative="0">
      <w:start w:val="1"/>
      <w:numFmt w:val="lowerRoman"/>
      <w:lvlText w:val="%9."/>
      <w:lvlJc w:val="right"/>
      <w:pPr>
        <w:tabs>
          <w:tab w:val="left" w:pos="4140"/>
        </w:tabs>
        <w:ind w:left="4140" w:hanging="420"/>
      </w:pPr>
    </w:lvl>
  </w:abstractNum>
  <w:abstractNum w:abstractNumId="19">
    <w:nsid w:val="49F576A1"/>
    <w:multiLevelType w:val="multilevel"/>
    <w:tmpl w:val="49F576A1"/>
    <w:lvl w:ilvl="0" w:tentative="0">
      <w:start w:val="1"/>
      <w:numFmt w:val="lowerLetter"/>
      <w:lvlText w:val="%1)"/>
      <w:lvlJc w:val="left"/>
      <w:pPr>
        <w:tabs>
          <w:tab w:val="left" w:pos="720"/>
        </w:tabs>
        <w:ind w:left="720" w:hanging="360"/>
      </w:pPr>
      <w:rPr>
        <w:rFonts w:hint="eastAsia"/>
      </w:rPr>
    </w:lvl>
    <w:lvl w:ilvl="1" w:tentative="0">
      <w:start w:val="1"/>
      <w:numFmt w:val="lowerLetter"/>
      <w:lvlText w:val="%2)"/>
      <w:lvlJc w:val="left"/>
      <w:pPr>
        <w:tabs>
          <w:tab w:val="left" w:pos="1200"/>
        </w:tabs>
        <w:ind w:left="1200" w:hanging="420"/>
      </w:pPr>
    </w:lvl>
    <w:lvl w:ilvl="2" w:tentative="0">
      <w:start w:val="1"/>
      <w:numFmt w:val="lowerRoman"/>
      <w:lvlText w:val="%3."/>
      <w:lvlJc w:val="right"/>
      <w:pPr>
        <w:tabs>
          <w:tab w:val="left" w:pos="1620"/>
        </w:tabs>
        <w:ind w:left="1620" w:hanging="420"/>
      </w:pPr>
    </w:lvl>
    <w:lvl w:ilvl="3" w:tentative="0">
      <w:start w:val="1"/>
      <w:numFmt w:val="decimal"/>
      <w:lvlText w:val="%4."/>
      <w:lvlJc w:val="left"/>
      <w:pPr>
        <w:tabs>
          <w:tab w:val="left" w:pos="2040"/>
        </w:tabs>
        <w:ind w:left="2040" w:hanging="420"/>
      </w:pPr>
    </w:lvl>
    <w:lvl w:ilvl="4" w:tentative="0">
      <w:start w:val="1"/>
      <w:numFmt w:val="lowerLetter"/>
      <w:lvlText w:val="%5)"/>
      <w:lvlJc w:val="left"/>
      <w:pPr>
        <w:tabs>
          <w:tab w:val="left" w:pos="2460"/>
        </w:tabs>
        <w:ind w:left="2460" w:hanging="420"/>
      </w:pPr>
    </w:lvl>
    <w:lvl w:ilvl="5" w:tentative="0">
      <w:start w:val="1"/>
      <w:numFmt w:val="lowerRoman"/>
      <w:lvlText w:val="%6."/>
      <w:lvlJc w:val="right"/>
      <w:pPr>
        <w:tabs>
          <w:tab w:val="left" w:pos="2880"/>
        </w:tabs>
        <w:ind w:left="2880" w:hanging="420"/>
      </w:pPr>
    </w:lvl>
    <w:lvl w:ilvl="6" w:tentative="0">
      <w:start w:val="1"/>
      <w:numFmt w:val="decimal"/>
      <w:lvlText w:val="%7."/>
      <w:lvlJc w:val="left"/>
      <w:pPr>
        <w:tabs>
          <w:tab w:val="left" w:pos="3300"/>
        </w:tabs>
        <w:ind w:left="3300" w:hanging="420"/>
      </w:pPr>
    </w:lvl>
    <w:lvl w:ilvl="7" w:tentative="0">
      <w:start w:val="1"/>
      <w:numFmt w:val="lowerLetter"/>
      <w:lvlText w:val="%8)"/>
      <w:lvlJc w:val="left"/>
      <w:pPr>
        <w:tabs>
          <w:tab w:val="left" w:pos="3720"/>
        </w:tabs>
        <w:ind w:left="3720" w:hanging="420"/>
      </w:pPr>
    </w:lvl>
    <w:lvl w:ilvl="8" w:tentative="0">
      <w:start w:val="1"/>
      <w:numFmt w:val="lowerRoman"/>
      <w:lvlText w:val="%9."/>
      <w:lvlJc w:val="right"/>
      <w:pPr>
        <w:tabs>
          <w:tab w:val="left" w:pos="4140"/>
        </w:tabs>
        <w:ind w:left="4140" w:hanging="420"/>
      </w:pPr>
    </w:lvl>
  </w:abstractNum>
  <w:abstractNum w:abstractNumId="20">
    <w:nsid w:val="4D421DF1"/>
    <w:multiLevelType w:val="multilevel"/>
    <w:tmpl w:val="4D421DF1"/>
    <w:lvl w:ilvl="0" w:tentative="0">
      <w:start w:val="1"/>
      <w:numFmt w:val="lowerLetter"/>
      <w:lvlText w:val="%1)"/>
      <w:lvlJc w:val="left"/>
      <w:pPr>
        <w:ind w:left="840" w:hanging="420"/>
      </w:pPr>
    </w:lvl>
    <w:lvl w:ilvl="1" w:tentative="0">
      <w:start w:val="1"/>
      <w:numFmt w:val="lowerLetter"/>
      <w:lvlText w:val="%2)"/>
      <w:lvlJc w:val="left"/>
      <w:pPr>
        <w:ind w:left="1260" w:hanging="420"/>
      </w:pPr>
    </w:lvl>
    <w:lvl w:ilvl="2" w:tentative="0">
      <w:start w:val="1"/>
      <w:numFmt w:val="lowerRoman"/>
      <w:lvlText w:val="%3."/>
      <w:lvlJc w:val="right"/>
      <w:pPr>
        <w:ind w:left="1680" w:hanging="420"/>
      </w:pPr>
    </w:lvl>
    <w:lvl w:ilvl="3" w:tentative="0">
      <w:start w:val="1"/>
      <w:numFmt w:val="decimal"/>
      <w:lvlText w:val="%4."/>
      <w:lvlJc w:val="left"/>
      <w:pPr>
        <w:ind w:left="2100" w:hanging="420"/>
      </w:pPr>
    </w:lvl>
    <w:lvl w:ilvl="4" w:tentative="0">
      <w:start w:val="1"/>
      <w:numFmt w:val="lowerLetter"/>
      <w:lvlText w:val="%5)"/>
      <w:lvlJc w:val="left"/>
      <w:pPr>
        <w:ind w:left="2520" w:hanging="420"/>
      </w:pPr>
    </w:lvl>
    <w:lvl w:ilvl="5" w:tentative="0">
      <w:start w:val="1"/>
      <w:numFmt w:val="lowerRoman"/>
      <w:lvlText w:val="%6."/>
      <w:lvlJc w:val="right"/>
      <w:pPr>
        <w:ind w:left="2940" w:hanging="420"/>
      </w:pPr>
    </w:lvl>
    <w:lvl w:ilvl="6" w:tentative="0">
      <w:start w:val="1"/>
      <w:numFmt w:val="decimal"/>
      <w:lvlText w:val="%7."/>
      <w:lvlJc w:val="left"/>
      <w:pPr>
        <w:ind w:left="3360" w:hanging="420"/>
      </w:pPr>
    </w:lvl>
    <w:lvl w:ilvl="7" w:tentative="0">
      <w:start w:val="1"/>
      <w:numFmt w:val="lowerLetter"/>
      <w:lvlText w:val="%8)"/>
      <w:lvlJc w:val="left"/>
      <w:pPr>
        <w:ind w:left="3780" w:hanging="420"/>
      </w:pPr>
    </w:lvl>
    <w:lvl w:ilvl="8" w:tentative="0">
      <w:start w:val="1"/>
      <w:numFmt w:val="lowerRoman"/>
      <w:lvlText w:val="%9."/>
      <w:lvlJc w:val="right"/>
      <w:pPr>
        <w:ind w:left="4200" w:hanging="420"/>
      </w:pPr>
    </w:lvl>
  </w:abstractNum>
  <w:abstractNum w:abstractNumId="21">
    <w:nsid w:val="541731F5"/>
    <w:multiLevelType w:val="multilevel"/>
    <w:tmpl w:val="541731F5"/>
    <w:lvl w:ilvl="0" w:tentative="0">
      <w:start w:val="1"/>
      <w:numFmt w:val="lowerLetter"/>
      <w:lvlText w:val="%1)"/>
      <w:lvlJc w:val="left"/>
      <w:pPr>
        <w:tabs>
          <w:tab w:val="left" w:pos="719"/>
        </w:tabs>
        <w:ind w:left="719" w:hanging="360"/>
      </w:pPr>
      <w:rPr>
        <w:rFonts w:hint="eastAsia"/>
      </w:rPr>
    </w:lvl>
    <w:lvl w:ilvl="1" w:tentative="0">
      <w:start w:val="1"/>
      <w:numFmt w:val="lowerLetter"/>
      <w:lvlText w:val="%2)"/>
      <w:lvlJc w:val="left"/>
      <w:pPr>
        <w:tabs>
          <w:tab w:val="left" w:pos="1199"/>
        </w:tabs>
        <w:ind w:left="1199" w:hanging="420"/>
      </w:pPr>
    </w:lvl>
    <w:lvl w:ilvl="2" w:tentative="0">
      <w:start w:val="1"/>
      <w:numFmt w:val="lowerRoman"/>
      <w:lvlText w:val="%3."/>
      <w:lvlJc w:val="right"/>
      <w:pPr>
        <w:tabs>
          <w:tab w:val="left" w:pos="1619"/>
        </w:tabs>
        <w:ind w:left="1619" w:hanging="420"/>
      </w:pPr>
    </w:lvl>
    <w:lvl w:ilvl="3" w:tentative="0">
      <w:start w:val="1"/>
      <w:numFmt w:val="decimal"/>
      <w:lvlText w:val="%4."/>
      <w:lvlJc w:val="left"/>
      <w:pPr>
        <w:tabs>
          <w:tab w:val="left" w:pos="2039"/>
        </w:tabs>
        <w:ind w:left="2039" w:hanging="420"/>
      </w:pPr>
    </w:lvl>
    <w:lvl w:ilvl="4" w:tentative="0">
      <w:start w:val="1"/>
      <w:numFmt w:val="lowerLetter"/>
      <w:lvlText w:val="%5)"/>
      <w:lvlJc w:val="left"/>
      <w:pPr>
        <w:tabs>
          <w:tab w:val="left" w:pos="2459"/>
        </w:tabs>
        <w:ind w:left="2459" w:hanging="420"/>
      </w:pPr>
    </w:lvl>
    <w:lvl w:ilvl="5" w:tentative="0">
      <w:start w:val="1"/>
      <w:numFmt w:val="lowerRoman"/>
      <w:lvlText w:val="%6."/>
      <w:lvlJc w:val="right"/>
      <w:pPr>
        <w:tabs>
          <w:tab w:val="left" w:pos="2879"/>
        </w:tabs>
        <w:ind w:left="2879" w:hanging="420"/>
      </w:pPr>
    </w:lvl>
    <w:lvl w:ilvl="6" w:tentative="0">
      <w:start w:val="1"/>
      <w:numFmt w:val="decimal"/>
      <w:lvlText w:val="%7."/>
      <w:lvlJc w:val="left"/>
      <w:pPr>
        <w:tabs>
          <w:tab w:val="left" w:pos="3299"/>
        </w:tabs>
        <w:ind w:left="3299" w:hanging="420"/>
      </w:pPr>
    </w:lvl>
    <w:lvl w:ilvl="7" w:tentative="0">
      <w:start w:val="1"/>
      <w:numFmt w:val="lowerLetter"/>
      <w:lvlText w:val="%8)"/>
      <w:lvlJc w:val="left"/>
      <w:pPr>
        <w:tabs>
          <w:tab w:val="left" w:pos="3719"/>
        </w:tabs>
        <w:ind w:left="3719" w:hanging="420"/>
      </w:pPr>
    </w:lvl>
    <w:lvl w:ilvl="8" w:tentative="0">
      <w:start w:val="1"/>
      <w:numFmt w:val="lowerRoman"/>
      <w:lvlText w:val="%9."/>
      <w:lvlJc w:val="right"/>
      <w:pPr>
        <w:tabs>
          <w:tab w:val="left" w:pos="4139"/>
        </w:tabs>
        <w:ind w:left="4139" w:hanging="420"/>
      </w:pPr>
    </w:lvl>
  </w:abstractNum>
  <w:abstractNum w:abstractNumId="22">
    <w:nsid w:val="5A3B4573"/>
    <w:multiLevelType w:val="multilevel"/>
    <w:tmpl w:val="5A3B4573"/>
    <w:lvl w:ilvl="0" w:tentative="0">
      <w:start w:val="1"/>
      <w:numFmt w:val="lowerLetter"/>
      <w:lvlText w:val="%1)"/>
      <w:lvlJc w:val="left"/>
      <w:pPr>
        <w:ind w:left="840" w:hanging="420"/>
      </w:pPr>
    </w:lvl>
    <w:lvl w:ilvl="1" w:tentative="0">
      <w:start w:val="1"/>
      <w:numFmt w:val="lowerLetter"/>
      <w:lvlText w:val="%2)"/>
      <w:lvlJc w:val="left"/>
      <w:pPr>
        <w:ind w:left="1260" w:hanging="420"/>
      </w:pPr>
    </w:lvl>
    <w:lvl w:ilvl="2" w:tentative="0">
      <w:start w:val="1"/>
      <w:numFmt w:val="lowerRoman"/>
      <w:lvlText w:val="%3."/>
      <w:lvlJc w:val="right"/>
      <w:pPr>
        <w:ind w:left="1680" w:hanging="420"/>
      </w:pPr>
    </w:lvl>
    <w:lvl w:ilvl="3" w:tentative="0">
      <w:start w:val="1"/>
      <w:numFmt w:val="decimal"/>
      <w:lvlText w:val="%4."/>
      <w:lvlJc w:val="left"/>
      <w:pPr>
        <w:ind w:left="2100" w:hanging="420"/>
      </w:pPr>
    </w:lvl>
    <w:lvl w:ilvl="4" w:tentative="0">
      <w:start w:val="1"/>
      <w:numFmt w:val="lowerLetter"/>
      <w:lvlText w:val="%5)"/>
      <w:lvlJc w:val="left"/>
      <w:pPr>
        <w:ind w:left="2520" w:hanging="420"/>
      </w:pPr>
    </w:lvl>
    <w:lvl w:ilvl="5" w:tentative="0">
      <w:start w:val="1"/>
      <w:numFmt w:val="lowerRoman"/>
      <w:lvlText w:val="%6."/>
      <w:lvlJc w:val="right"/>
      <w:pPr>
        <w:ind w:left="2940" w:hanging="420"/>
      </w:pPr>
    </w:lvl>
    <w:lvl w:ilvl="6" w:tentative="0">
      <w:start w:val="1"/>
      <w:numFmt w:val="decimal"/>
      <w:lvlText w:val="%7."/>
      <w:lvlJc w:val="left"/>
      <w:pPr>
        <w:ind w:left="3360" w:hanging="420"/>
      </w:pPr>
    </w:lvl>
    <w:lvl w:ilvl="7" w:tentative="0">
      <w:start w:val="1"/>
      <w:numFmt w:val="lowerLetter"/>
      <w:lvlText w:val="%8)"/>
      <w:lvlJc w:val="left"/>
      <w:pPr>
        <w:ind w:left="3780" w:hanging="420"/>
      </w:pPr>
    </w:lvl>
    <w:lvl w:ilvl="8" w:tentative="0">
      <w:start w:val="1"/>
      <w:numFmt w:val="lowerRoman"/>
      <w:lvlText w:val="%9."/>
      <w:lvlJc w:val="right"/>
      <w:pPr>
        <w:ind w:left="4200" w:hanging="420"/>
      </w:pPr>
    </w:lvl>
  </w:abstractNum>
  <w:abstractNum w:abstractNumId="23">
    <w:nsid w:val="624369EF"/>
    <w:multiLevelType w:val="multilevel"/>
    <w:tmpl w:val="624369EF"/>
    <w:lvl w:ilvl="0" w:tentative="0">
      <w:start w:val="1"/>
      <w:numFmt w:val="lowerLetter"/>
      <w:lvlText w:val="%1)"/>
      <w:lvlJc w:val="left"/>
      <w:pPr>
        <w:ind w:left="1620" w:hanging="420"/>
      </w:pPr>
    </w:lvl>
    <w:lvl w:ilvl="1" w:tentative="0">
      <w:start w:val="1"/>
      <w:numFmt w:val="decimal"/>
      <w:lvlText w:val="%2)"/>
      <w:lvlJc w:val="left"/>
      <w:pPr>
        <w:ind w:left="1980" w:hanging="360"/>
      </w:pPr>
      <w:rPr>
        <w:rFonts w:hint="default"/>
      </w:rPr>
    </w:lvl>
    <w:lvl w:ilvl="2" w:tentative="0">
      <w:start w:val="1"/>
      <w:numFmt w:val="lowerRoman"/>
      <w:lvlText w:val="%3."/>
      <w:lvlJc w:val="right"/>
      <w:pPr>
        <w:ind w:left="2460" w:hanging="420"/>
      </w:pPr>
    </w:lvl>
    <w:lvl w:ilvl="3" w:tentative="0">
      <w:start w:val="1"/>
      <w:numFmt w:val="decimal"/>
      <w:lvlText w:val="%4."/>
      <w:lvlJc w:val="left"/>
      <w:pPr>
        <w:ind w:left="2880" w:hanging="420"/>
      </w:pPr>
    </w:lvl>
    <w:lvl w:ilvl="4" w:tentative="0">
      <w:start w:val="1"/>
      <w:numFmt w:val="lowerLetter"/>
      <w:lvlText w:val="%5)"/>
      <w:lvlJc w:val="left"/>
      <w:pPr>
        <w:ind w:left="3300" w:hanging="420"/>
      </w:pPr>
    </w:lvl>
    <w:lvl w:ilvl="5" w:tentative="0">
      <w:start w:val="1"/>
      <w:numFmt w:val="lowerRoman"/>
      <w:lvlText w:val="%6."/>
      <w:lvlJc w:val="right"/>
      <w:pPr>
        <w:ind w:left="3720" w:hanging="420"/>
      </w:pPr>
    </w:lvl>
    <w:lvl w:ilvl="6" w:tentative="0">
      <w:start w:val="1"/>
      <w:numFmt w:val="decimal"/>
      <w:lvlText w:val="%7."/>
      <w:lvlJc w:val="left"/>
      <w:pPr>
        <w:ind w:left="4140" w:hanging="420"/>
      </w:pPr>
    </w:lvl>
    <w:lvl w:ilvl="7" w:tentative="0">
      <w:start w:val="1"/>
      <w:numFmt w:val="lowerLetter"/>
      <w:lvlText w:val="%8)"/>
      <w:lvlJc w:val="left"/>
      <w:pPr>
        <w:ind w:left="4560" w:hanging="420"/>
      </w:pPr>
    </w:lvl>
    <w:lvl w:ilvl="8" w:tentative="0">
      <w:start w:val="1"/>
      <w:numFmt w:val="lowerRoman"/>
      <w:lvlText w:val="%9."/>
      <w:lvlJc w:val="right"/>
      <w:pPr>
        <w:ind w:left="4980" w:hanging="420"/>
      </w:pPr>
    </w:lvl>
  </w:abstractNum>
  <w:abstractNum w:abstractNumId="24">
    <w:nsid w:val="635879B1"/>
    <w:multiLevelType w:val="multilevel"/>
    <w:tmpl w:val="635879B1"/>
    <w:lvl w:ilvl="0" w:tentative="0">
      <w:start w:val="1"/>
      <w:numFmt w:val="lowerLetter"/>
      <w:lvlText w:val="%1)"/>
      <w:lvlJc w:val="left"/>
      <w:pPr>
        <w:ind w:left="840" w:hanging="420"/>
      </w:pPr>
    </w:lvl>
    <w:lvl w:ilvl="1" w:tentative="0">
      <w:start w:val="1"/>
      <w:numFmt w:val="lowerLetter"/>
      <w:lvlText w:val="%2)"/>
      <w:lvlJc w:val="left"/>
      <w:pPr>
        <w:ind w:left="1260" w:hanging="420"/>
      </w:pPr>
    </w:lvl>
    <w:lvl w:ilvl="2" w:tentative="0">
      <w:start w:val="1"/>
      <w:numFmt w:val="lowerRoman"/>
      <w:lvlText w:val="%3."/>
      <w:lvlJc w:val="right"/>
      <w:pPr>
        <w:ind w:left="1680" w:hanging="420"/>
      </w:pPr>
    </w:lvl>
    <w:lvl w:ilvl="3" w:tentative="0">
      <w:start w:val="1"/>
      <w:numFmt w:val="decimal"/>
      <w:lvlText w:val="%4."/>
      <w:lvlJc w:val="left"/>
      <w:pPr>
        <w:ind w:left="2100" w:hanging="420"/>
      </w:pPr>
    </w:lvl>
    <w:lvl w:ilvl="4" w:tentative="0">
      <w:start w:val="1"/>
      <w:numFmt w:val="lowerLetter"/>
      <w:lvlText w:val="%5)"/>
      <w:lvlJc w:val="left"/>
      <w:pPr>
        <w:ind w:left="2520" w:hanging="420"/>
      </w:pPr>
    </w:lvl>
    <w:lvl w:ilvl="5" w:tentative="0">
      <w:start w:val="1"/>
      <w:numFmt w:val="lowerRoman"/>
      <w:lvlText w:val="%6."/>
      <w:lvlJc w:val="right"/>
      <w:pPr>
        <w:ind w:left="2940" w:hanging="420"/>
      </w:pPr>
    </w:lvl>
    <w:lvl w:ilvl="6" w:tentative="0">
      <w:start w:val="1"/>
      <w:numFmt w:val="decimal"/>
      <w:lvlText w:val="%7."/>
      <w:lvlJc w:val="left"/>
      <w:pPr>
        <w:ind w:left="3360" w:hanging="420"/>
      </w:pPr>
    </w:lvl>
    <w:lvl w:ilvl="7" w:tentative="0">
      <w:start w:val="1"/>
      <w:numFmt w:val="lowerLetter"/>
      <w:lvlText w:val="%8)"/>
      <w:lvlJc w:val="left"/>
      <w:pPr>
        <w:ind w:left="3780" w:hanging="420"/>
      </w:pPr>
    </w:lvl>
    <w:lvl w:ilvl="8" w:tentative="0">
      <w:start w:val="1"/>
      <w:numFmt w:val="lowerRoman"/>
      <w:lvlText w:val="%9."/>
      <w:lvlJc w:val="right"/>
      <w:pPr>
        <w:ind w:left="4200" w:hanging="420"/>
      </w:pPr>
    </w:lvl>
  </w:abstractNum>
  <w:abstractNum w:abstractNumId="25">
    <w:nsid w:val="6A675048"/>
    <w:multiLevelType w:val="multilevel"/>
    <w:tmpl w:val="6A675048"/>
    <w:lvl w:ilvl="0" w:tentative="0">
      <w:start w:val="1"/>
      <w:numFmt w:val="lowerLetter"/>
      <w:lvlText w:val="%1)"/>
      <w:lvlJc w:val="left"/>
      <w:pPr>
        <w:ind w:left="1620" w:hanging="420"/>
      </w:pPr>
    </w:lvl>
    <w:lvl w:ilvl="1" w:tentative="0">
      <w:start w:val="1"/>
      <w:numFmt w:val="decimal"/>
      <w:lvlText w:val="%2)"/>
      <w:lvlJc w:val="left"/>
      <w:pPr>
        <w:ind w:left="1980" w:hanging="360"/>
      </w:pPr>
      <w:rPr>
        <w:rFonts w:hint="default"/>
      </w:rPr>
    </w:lvl>
    <w:lvl w:ilvl="2" w:tentative="0">
      <w:start w:val="1"/>
      <w:numFmt w:val="lowerRoman"/>
      <w:lvlText w:val="%3."/>
      <w:lvlJc w:val="right"/>
      <w:pPr>
        <w:ind w:left="2460" w:hanging="420"/>
      </w:pPr>
    </w:lvl>
    <w:lvl w:ilvl="3" w:tentative="0">
      <w:start w:val="1"/>
      <w:numFmt w:val="decimal"/>
      <w:lvlText w:val="%4."/>
      <w:lvlJc w:val="left"/>
      <w:pPr>
        <w:ind w:left="2880" w:hanging="420"/>
      </w:pPr>
    </w:lvl>
    <w:lvl w:ilvl="4" w:tentative="0">
      <w:start w:val="1"/>
      <w:numFmt w:val="lowerLetter"/>
      <w:lvlText w:val="%5)"/>
      <w:lvlJc w:val="left"/>
      <w:pPr>
        <w:ind w:left="3300" w:hanging="420"/>
      </w:pPr>
    </w:lvl>
    <w:lvl w:ilvl="5" w:tentative="0">
      <w:start w:val="1"/>
      <w:numFmt w:val="lowerRoman"/>
      <w:lvlText w:val="%6."/>
      <w:lvlJc w:val="right"/>
      <w:pPr>
        <w:ind w:left="3720" w:hanging="420"/>
      </w:pPr>
    </w:lvl>
    <w:lvl w:ilvl="6" w:tentative="0">
      <w:start w:val="1"/>
      <w:numFmt w:val="decimal"/>
      <w:lvlText w:val="%7."/>
      <w:lvlJc w:val="left"/>
      <w:pPr>
        <w:ind w:left="4140" w:hanging="420"/>
      </w:pPr>
    </w:lvl>
    <w:lvl w:ilvl="7" w:tentative="0">
      <w:start w:val="1"/>
      <w:numFmt w:val="lowerLetter"/>
      <w:lvlText w:val="%8)"/>
      <w:lvlJc w:val="left"/>
      <w:pPr>
        <w:ind w:left="4560" w:hanging="420"/>
      </w:pPr>
    </w:lvl>
    <w:lvl w:ilvl="8" w:tentative="0">
      <w:start w:val="1"/>
      <w:numFmt w:val="lowerRoman"/>
      <w:lvlText w:val="%9."/>
      <w:lvlJc w:val="right"/>
      <w:pPr>
        <w:ind w:left="4980" w:hanging="420"/>
      </w:pPr>
    </w:lvl>
  </w:abstractNum>
  <w:abstractNum w:abstractNumId="26">
    <w:nsid w:val="703852C8"/>
    <w:multiLevelType w:val="multilevel"/>
    <w:tmpl w:val="703852C8"/>
    <w:lvl w:ilvl="0" w:tentative="0">
      <w:start w:val="1"/>
      <w:numFmt w:val="lowerLetter"/>
      <w:lvlText w:val="%1)"/>
      <w:lvlJc w:val="left"/>
      <w:pPr>
        <w:ind w:left="420" w:hanging="420"/>
      </w:p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27">
    <w:nsid w:val="71657DA4"/>
    <w:multiLevelType w:val="multilevel"/>
    <w:tmpl w:val="71657DA4"/>
    <w:lvl w:ilvl="0" w:tentative="0">
      <w:start w:val="1"/>
      <w:numFmt w:val="lowerLetter"/>
      <w:lvlText w:val="%1)"/>
      <w:lvlJc w:val="left"/>
      <w:pPr>
        <w:ind w:left="840" w:hanging="420"/>
      </w:pPr>
    </w:lvl>
    <w:lvl w:ilvl="1" w:tentative="0">
      <w:start w:val="1"/>
      <w:numFmt w:val="lowerLetter"/>
      <w:lvlText w:val="%2)"/>
      <w:lvlJc w:val="left"/>
      <w:pPr>
        <w:ind w:left="1260" w:hanging="420"/>
      </w:pPr>
    </w:lvl>
    <w:lvl w:ilvl="2" w:tentative="0">
      <w:start w:val="1"/>
      <w:numFmt w:val="lowerRoman"/>
      <w:lvlText w:val="%3."/>
      <w:lvlJc w:val="right"/>
      <w:pPr>
        <w:ind w:left="1680" w:hanging="420"/>
      </w:pPr>
    </w:lvl>
    <w:lvl w:ilvl="3" w:tentative="0">
      <w:start w:val="1"/>
      <w:numFmt w:val="decimal"/>
      <w:lvlText w:val="%4."/>
      <w:lvlJc w:val="left"/>
      <w:pPr>
        <w:ind w:left="2100" w:hanging="420"/>
      </w:pPr>
    </w:lvl>
    <w:lvl w:ilvl="4" w:tentative="0">
      <w:start w:val="1"/>
      <w:numFmt w:val="lowerLetter"/>
      <w:lvlText w:val="%5)"/>
      <w:lvlJc w:val="left"/>
      <w:pPr>
        <w:ind w:left="2520" w:hanging="420"/>
      </w:pPr>
    </w:lvl>
    <w:lvl w:ilvl="5" w:tentative="0">
      <w:start w:val="1"/>
      <w:numFmt w:val="lowerRoman"/>
      <w:lvlText w:val="%6."/>
      <w:lvlJc w:val="right"/>
      <w:pPr>
        <w:ind w:left="2940" w:hanging="420"/>
      </w:pPr>
    </w:lvl>
    <w:lvl w:ilvl="6" w:tentative="0">
      <w:start w:val="1"/>
      <w:numFmt w:val="decimal"/>
      <w:lvlText w:val="%7."/>
      <w:lvlJc w:val="left"/>
      <w:pPr>
        <w:ind w:left="3360" w:hanging="420"/>
      </w:pPr>
    </w:lvl>
    <w:lvl w:ilvl="7" w:tentative="0">
      <w:start w:val="1"/>
      <w:numFmt w:val="lowerLetter"/>
      <w:lvlText w:val="%8)"/>
      <w:lvlJc w:val="left"/>
      <w:pPr>
        <w:ind w:left="3780" w:hanging="420"/>
      </w:pPr>
    </w:lvl>
    <w:lvl w:ilvl="8" w:tentative="0">
      <w:start w:val="1"/>
      <w:numFmt w:val="lowerRoman"/>
      <w:lvlText w:val="%9."/>
      <w:lvlJc w:val="right"/>
      <w:pPr>
        <w:ind w:left="4200" w:hanging="420"/>
      </w:pPr>
    </w:lvl>
  </w:abstractNum>
  <w:abstractNum w:abstractNumId="28">
    <w:nsid w:val="7EF42288"/>
    <w:multiLevelType w:val="multilevel"/>
    <w:tmpl w:val="7EF42288"/>
    <w:lvl w:ilvl="0" w:tentative="0">
      <w:start w:val="1"/>
      <w:numFmt w:val="lowerLetter"/>
      <w:lvlText w:val="%1)"/>
      <w:lvlJc w:val="left"/>
      <w:pPr>
        <w:ind w:left="840" w:hanging="420"/>
      </w:pPr>
    </w:lvl>
    <w:lvl w:ilvl="1" w:tentative="0">
      <w:start w:val="1"/>
      <w:numFmt w:val="lowerLetter"/>
      <w:lvlText w:val="%2)"/>
      <w:lvlJc w:val="left"/>
      <w:pPr>
        <w:ind w:left="1260" w:hanging="420"/>
      </w:pPr>
    </w:lvl>
    <w:lvl w:ilvl="2" w:tentative="0">
      <w:start w:val="1"/>
      <w:numFmt w:val="lowerRoman"/>
      <w:lvlText w:val="%3."/>
      <w:lvlJc w:val="right"/>
      <w:pPr>
        <w:ind w:left="1680" w:hanging="420"/>
      </w:pPr>
    </w:lvl>
    <w:lvl w:ilvl="3" w:tentative="0">
      <w:start w:val="1"/>
      <w:numFmt w:val="decimal"/>
      <w:lvlText w:val="%4."/>
      <w:lvlJc w:val="left"/>
      <w:pPr>
        <w:ind w:left="2100" w:hanging="420"/>
      </w:pPr>
    </w:lvl>
    <w:lvl w:ilvl="4" w:tentative="0">
      <w:start w:val="1"/>
      <w:numFmt w:val="lowerLetter"/>
      <w:lvlText w:val="%5)"/>
      <w:lvlJc w:val="left"/>
      <w:pPr>
        <w:ind w:left="2520" w:hanging="420"/>
      </w:pPr>
    </w:lvl>
    <w:lvl w:ilvl="5" w:tentative="0">
      <w:start w:val="1"/>
      <w:numFmt w:val="lowerRoman"/>
      <w:lvlText w:val="%6."/>
      <w:lvlJc w:val="right"/>
      <w:pPr>
        <w:ind w:left="2940" w:hanging="420"/>
      </w:pPr>
    </w:lvl>
    <w:lvl w:ilvl="6" w:tentative="0">
      <w:start w:val="1"/>
      <w:numFmt w:val="decimal"/>
      <w:lvlText w:val="%7."/>
      <w:lvlJc w:val="left"/>
      <w:pPr>
        <w:ind w:left="3360" w:hanging="420"/>
      </w:pPr>
    </w:lvl>
    <w:lvl w:ilvl="7" w:tentative="0">
      <w:start w:val="1"/>
      <w:numFmt w:val="lowerLetter"/>
      <w:lvlText w:val="%8)"/>
      <w:lvlJc w:val="left"/>
      <w:pPr>
        <w:ind w:left="3780" w:hanging="420"/>
      </w:pPr>
    </w:lvl>
    <w:lvl w:ilvl="8" w:tentative="0">
      <w:start w:val="1"/>
      <w:numFmt w:val="lowerRoman"/>
      <w:lvlText w:val="%9."/>
      <w:lvlJc w:val="right"/>
      <w:pPr>
        <w:ind w:left="4200" w:hanging="420"/>
      </w:pPr>
    </w:lvl>
  </w:abstractNum>
  <w:num w:numId="1">
    <w:abstractNumId w:val="10"/>
  </w:num>
  <w:num w:numId="2">
    <w:abstractNumId w:val="11"/>
  </w:num>
  <w:num w:numId="3">
    <w:abstractNumId w:val="26"/>
  </w:num>
  <w:num w:numId="4">
    <w:abstractNumId w:val="15"/>
  </w:num>
  <w:num w:numId="5">
    <w:abstractNumId w:val="5"/>
  </w:num>
  <w:num w:numId="6">
    <w:abstractNumId w:val="17"/>
  </w:num>
  <w:num w:numId="7">
    <w:abstractNumId w:val="24"/>
  </w:num>
  <w:num w:numId="8">
    <w:abstractNumId w:val="0"/>
  </w:num>
  <w:num w:numId="9">
    <w:abstractNumId w:val="9"/>
  </w:num>
  <w:num w:numId="10">
    <w:abstractNumId w:val="22"/>
  </w:num>
  <w:num w:numId="11">
    <w:abstractNumId w:val="14"/>
  </w:num>
  <w:num w:numId="12">
    <w:abstractNumId w:val="20"/>
  </w:num>
  <w:num w:numId="13">
    <w:abstractNumId w:val="2"/>
  </w:num>
  <w:num w:numId="14">
    <w:abstractNumId w:val="12"/>
  </w:num>
  <w:num w:numId="15">
    <w:abstractNumId w:val="27"/>
  </w:num>
  <w:num w:numId="16">
    <w:abstractNumId w:val="28"/>
  </w:num>
  <w:num w:numId="17">
    <w:abstractNumId w:val="21"/>
  </w:num>
  <w:num w:numId="18">
    <w:abstractNumId w:val="16"/>
  </w:num>
  <w:num w:numId="19">
    <w:abstractNumId w:val="1"/>
  </w:num>
  <w:num w:numId="20">
    <w:abstractNumId w:val="25"/>
  </w:num>
  <w:num w:numId="21">
    <w:abstractNumId w:val="4"/>
  </w:num>
  <w:num w:numId="22">
    <w:abstractNumId w:val="23"/>
  </w:num>
  <w:num w:numId="23">
    <w:abstractNumId w:val="13"/>
  </w:num>
  <w:num w:numId="24">
    <w:abstractNumId w:val="3"/>
  </w:num>
  <w:num w:numId="25">
    <w:abstractNumId w:val="7"/>
  </w:num>
  <w:num w:numId="26">
    <w:abstractNumId w:val="8"/>
  </w:num>
  <w:num w:numId="27">
    <w:abstractNumId w:val="19"/>
  </w:num>
  <w:num w:numId="28">
    <w:abstractNumId w:val="6"/>
  </w:num>
  <w:num w:numId="29">
    <w:abstractNumId w:val="1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0"/>
  <w:bordersDoNotSurroundHeader w:val="true"/>
  <w:bordersDoNotSurroundFooter w:val="true"/>
  <w:attachedTemplate r:id="rId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OTk0OGFiMjcwNDhkMjQ3ODVlYTcwYWZjYWIyODJjNTMifQ=="/>
    <w:docVar w:name="KSO_WPS_MARK_KEY" w:val="6f69101e-e77b-4336-8e84-6cc242a63a2f"/>
  </w:docVars>
  <w:rsids>
    <w:rsidRoot w:val="007A6EDA"/>
    <w:rsid w:val="00044602"/>
    <w:rsid w:val="00065F04"/>
    <w:rsid w:val="000813AC"/>
    <w:rsid w:val="000843E4"/>
    <w:rsid w:val="00091D8F"/>
    <w:rsid w:val="000F081B"/>
    <w:rsid w:val="0018025A"/>
    <w:rsid w:val="001A62E2"/>
    <w:rsid w:val="001C3B80"/>
    <w:rsid w:val="001C7BB5"/>
    <w:rsid w:val="001D24FB"/>
    <w:rsid w:val="001E3801"/>
    <w:rsid w:val="00220804"/>
    <w:rsid w:val="00221B55"/>
    <w:rsid w:val="00240511"/>
    <w:rsid w:val="00254C0B"/>
    <w:rsid w:val="00315F19"/>
    <w:rsid w:val="00353EDE"/>
    <w:rsid w:val="003D5191"/>
    <w:rsid w:val="003F010E"/>
    <w:rsid w:val="004706B5"/>
    <w:rsid w:val="005B11A1"/>
    <w:rsid w:val="005D5339"/>
    <w:rsid w:val="005E216C"/>
    <w:rsid w:val="007A6EDA"/>
    <w:rsid w:val="008E6599"/>
    <w:rsid w:val="009648F4"/>
    <w:rsid w:val="009B310F"/>
    <w:rsid w:val="009F5BB3"/>
    <w:rsid w:val="00A275FB"/>
    <w:rsid w:val="00AA2667"/>
    <w:rsid w:val="00AB258F"/>
    <w:rsid w:val="00AD5E9E"/>
    <w:rsid w:val="00B258A2"/>
    <w:rsid w:val="00BC1643"/>
    <w:rsid w:val="00D20F8E"/>
    <w:rsid w:val="00D22FFA"/>
    <w:rsid w:val="00D531FD"/>
    <w:rsid w:val="00E25207"/>
    <w:rsid w:val="00E8061B"/>
    <w:rsid w:val="00EB77CA"/>
    <w:rsid w:val="00F3244F"/>
    <w:rsid w:val="00FA2F03"/>
    <w:rsid w:val="066E2140"/>
    <w:rsid w:val="078C29F9"/>
    <w:rsid w:val="0A701D39"/>
    <w:rsid w:val="0AB65C89"/>
    <w:rsid w:val="0AEA0988"/>
    <w:rsid w:val="0C0C1DAF"/>
    <w:rsid w:val="120C3966"/>
    <w:rsid w:val="135434E1"/>
    <w:rsid w:val="16C60B8F"/>
    <w:rsid w:val="1B6E07EA"/>
    <w:rsid w:val="1F1E48D5"/>
    <w:rsid w:val="256064CA"/>
    <w:rsid w:val="2ED81174"/>
    <w:rsid w:val="34070D19"/>
    <w:rsid w:val="4254629E"/>
    <w:rsid w:val="44314A28"/>
    <w:rsid w:val="486139CD"/>
    <w:rsid w:val="4BE44042"/>
    <w:rsid w:val="509F36C6"/>
    <w:rsid w:val="541E1033"/>
    <w:rsid w:val="55801A9A"/>
    <w:rsid w:val="5B567260"/>
    <w:rsid w:val="5BEE4EA9"/>
    <w:rsid w:val="5C0A0C51"/>
    <w:rsid w:val="5E4B06C0"/>
    <w:rsid w:val="61095CDB"/>
    <w:rsid w:val="69DC0CDF"/>
    <w:rsid w:val="71D37B3A"/>
    <w:rsid w:val="74B4085B"/>
    <w:rsid w:val="76C447BE"/>
    <w:rsid w:val="78210102"/>
    <w:rsid w:val="79D030E6"/>
  </w:rsids>
  <m:mathPr>
    <m:mathFont m:val="Cambria Math"/>
    <m:brkBin m:val="before"/>
    <m:brkBinSub m:val="--"/>
    <m:smallFrac m:val="1"/>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2"/>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nhideWhenUsed="0" w:uiPriority="0" w:semiHidden="0" w:name="heading 3"/>
    <w:lsdException w:qFormat="1" w:uiPriority="0" w:name="heading 4"/>
    <w:lsdException w:qFormat="1" w:unhideWhenUsed="0" w:uiPriority="0" w:semiHidden="0" w:name="heading 5"/>
    <w:lsdException w:qFormat="1" w:uiPriority="0" w:name="heading 6"/>
    <w:lsdException w:qFormat="1" w:uiPriority="0" w:name="heading 7"/>
    <w:lsdException w:qFormat="1" w:uiPriority="0" w:name="heading 8"/>
    <w:lsdException w:qFormat="1" w:uiPriority="0" w:name="heading 9"/>
    <w:lsdException w:uiPriority="0" w:name="index 1"/>
    <w:lsdException w:uiPriority="0" w:name="index 2"/>
    <w:lsdException w:uiPriority="0" w:name="index 3"/>
    <w:lsdException w:uiPriority="0" w:name="index 4"/>
    <w:lsdException w:uiPriority="0" w:name="index 5"/>
    <w:lsdException w:uiPriority="0" w:name="index 6"/>
    <w:lsdException w:uiPriority="0" w:name="index 7"/>
    <w:lsdException w:uiPriority="0" w:name="index 8"/>
    <w:lsdException w:uiPriority="0" w:name="index 9"/>
    <w:lsdException w:qFormat="1" w:uiPriority="39" w:semiHidden="0" w:name="toc 1"/>
    <w:lsdException w:qFormat="1" w:uiPriority="39" w:semiHidden="0" w:name="toc 2"/>
    <w:lsdException w:uiPriority="0" w:name="toc 3"/>
    <w:lsdException w:uiPriority="0" w:name="toc 4"/>
    <w:lsdException w:uiPriority="0" w:name="toc 5"/>
    <w:lsdException w:uiPriority="0" w:name="toc 6"/>
    <w:lsdException w:uiPriority="0" w:name="toc 7"/>
    <w:lsdException w:uiPriority="0" w:name="toc 8"/>
    <w:lsdException w:uiPriority="0" w:name="toc 9"/>
    <w:lsdException w:uiPriority="0" w:name="Normal Indent"/>
    <w:lsdException w:uiPriority="0" w:name="footnote text"/>
    <w:lsdException w:uiPriority="0" w:name="annotation text"/>
    <w:lsdException w:qFormat="1" w:unhideWhenUsed="0" w:uiPriority="0" w:semiHidden="0" w:name="header"/>
    <w:lsdException w:qFormat="1" w:unhideWhenUsed="0" w:uiPriority="0" w:semiHidden="0" w:name="footer"/>
    <w:lsdException w:uiPriority="0" w:name="index heading"/>
    <w:lsdException w:qFormat="1" w:uiPriority="0" w:name="caption"/>
    <w:lsdException w:uiPriority="0" w:name="table of figures"/>
    <w:lsdException w:uiPriority="0" w:name="envelope address"/>
    <w:lsdException w:uiPriority="0" w:name="envelope return"/>
    <w:lsdException w:uiPriority="0" w:name="footnote reference"/>
    <w:lsdException w:uiPriority="0" w:name="annotation reference"/>
    <w:lsdException w:uiPriority="0" w:name="line number"/>
    <w:lsdException w:qFormat="1" w:unhideWhenUsed="0" w:uiPriority="0" w:semiHidden="0" w:name="page number"/>
    <w:lsdException w:uiPriority="0" w:name="endnote reference"/>
    <w:lsdException w:uiPriority="0" w:name="endnote text"/>
    <w:lsdException w:uiPriority="0" w:name="table of authorities"/>
    <w:lsdException w:uiPriority="0" w:name="macro"/>
    <w:lsdException w:uiPriority="0" w:name="toa heading"/>
    <w:lsdException w:uiPriority="0" w:name="List"/>
    <w:lsdException w:uiPriority="0" w:name="List Bullet"/>
    <w:lsdException w:unhideWhenUsed="0" w:uiPriority="0" w:semiHidden="0" w:name="List Number"/>
    <w:lsdException w:qFormat="1" w:unhideWhenUsed="0" w:uiPriority="0" w:semiHidden="0" w:name="List 2"/>
    <w:lsdException w:uiPriority="0" w:name="List 3"/>
    <w:lsdException w:unhideWhenUsed="0" w:uiPriority="0" w:semiHidden="0" w:name="List 4"/>
    <w:lsdException w:unhideWhenUsed="0" w:uiPriority="0" w:semiHidden="0" w:name="List 5"/>
    <w:lsdException w:uiPriority="0" w:name="List Bullet 2"/>
    <w:lsdException w:uiPriority="0" w:name="List Bullet 3"/>
    <w:lsdException w:uiPriority="0" w:name="List Bullet 4"/>
    <w:lsdException w:uiPriority="0" w:name="List Bullet 5"/>
    <w:lsdException w:uiPriority="0" w:name="List Number 2"/>
    <w:lsdException w:uiPriority="0" w:name="List Number 3"/>
    <w:lsdException w:uiPriority="0" w:name="List Number 4"/>
    <w:lsdException w:uiPriority="0" w:name="List Number 5"/>
    <w:lsdException w:qFormat="1" w:unhideWhenUsed="0" w:uiPriority="0" w:semiHidden="0" w:name="Title"/>
    <w:lsdException w:uiPriority="0" w:name="Closing"/>
    <w:lsdException w:uiPriority="0" w:name="Signature"/>
    <w:lsdException w:qFormat="1" w:uiPriority="1" w:semiHidden="0" w:name="Default Paragraph Font"/>
    <w:lsdException w:qFormat="1" w:unhideWhenUsed="0" w:uiPriority="0" w:semiHidden="0" w:name="Body Text"/>
    <w:lsdException w:qFormat="1" w:unhideWhenUsed="0" w:uiPriority="0" w:semiHidden="0" w:name="Body Text Indent"/>
    <w:lsdException w:uiPriority="0" w:name="List Continue"/>
    <w:lsdException w:uiPriority="0" w:name="List Continue 2"/>
    <w:lsdException w:uiPriority="0" w:name="List Continue 3"/>
    <w:lsdException w:uiPriority="0" w:name="List Continue 4"/>
    <w:lsdException w:uiPriority="0" w:name="List Continue 5"/>
    <w:lsdException w:uiPriority="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iPriority="0" w:name="Body Text First Indent 2"/>
    <w:lsdException w:uiPriority="0" w:name="Note Heading"/>
    <w:lsdException w:qFormat="1" w:unhideWhenUsed="0" w:uiPriority="0" w:semiHidden="0" w:name="Body Text 2"/>
    <w:lsdException w:uiPriority="0" w:name="Body Text 3"/>
    <w:lsdException w:qFormat="1" w:unhideWhenUsed="0" w:uiPriority="0" w:semiHidden="0" w:name="Body Text Indent 2"/>
    <w:lsdException w:qFormat="1" w:unhideWhenUsed="0" w:uiPriority="0" w:semiHidden="0" w:name="Body Text Indent 3"/>
    <w:lsdException w:uiPriority="0" w:name="Block Text"/>
    <w:lsdException w:qFormat="1" w:unhideWhenUsed="0" w:uiPriority="0" w:semiHidden="0" w:name="Hyperlink"/>
    <w:lsdException w:uiPriority="0" w:name="FollowedHyperlink"/>
    <w:lsdException w:qFormat="1" w:unhideWhenUsed="0" w:uiPriority="0" w:semiHidden="0" w:name="Strong"/>
    <w:lsdException w:qFormat="1" w:unhideWhenUsed="0" w:uiPriority="0" w:semiHidden="0" w:name="Emphasis"/>
    <w:lsdException w:uiPriority="0" w:name="Document Map"/>
    <w:lsdException w:uiPriority="0" w:name="Plain Text"/>
    <w:lsdException w:uiPriority="0" w:name="E-mail Signature"/>
    <w:lsdException w:uiPriority="0" w:name="Normal (Web)"/>
    <w:lsdException w:uiPriority="0" w:name="HTML Acronym"/>
    <w:lsdException w:uiPriority="0" w:name="HTML Address"/>
    <w:lsdException w:uiPriority="0" w:name="HTML Cite"/>
    <w:lsdException w:uiPriority="0" w:name="HTML Code"/>
    <w:lsdException w:uiPriority="0" w:name="HTML Definition"/>
    <w:lsdException w:uiPriority="0" w:name="HTML Keyboard"/>
    <w:lsdException w:uiPriority="0" w:name="HTML Preformatted"/>
    <w:lsdException w:uiPriority="0" w:name="HTML Sample"/>
    <w:lsdException w:uiPriority="0" w:name="HTML Typewriter"/>
    <w:lsdException w:uiPriority="0" w:name="HTML Variable"/>
    <w:lsdException w:qFormat="1" w:uiPriority="99" w:name="Normal Table"/>
    <w:lsdException w:uiPriority="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qFormat="1"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paragraph" w:styleId="2">
    <w:name w:val="heading 1"/>
    <w:basedOn w:val="1"/>
    <w:next w:val="1"/>
    <w:qFormat/>
    <w:uiPriority w:val="0"/>
    <w:pPr>
      <w:keepNext/>
      <w:keepLines/>
      <w:outlineLvl w:val="0"/>
    </w:pPr>
    <w:rPr>
      <w:b/>
      <w:bCs/>
      <w:kern w:val="44"/>
      <w:sz w:val="24"/>
      <w:szCs w:val="44"/>
    </w:rPr>
  </w:style>
  <w:style w:type="paragraph" w:styleId="3">
    <w:name w:val="heading 2"/>
    <w:basedOn w:val="1"/>
    <w:next w:val="1"/>
    <w:qFormat/>
    <w:uiPriority w:val="0"/>
    <w:pPr>
      <w:keepNext/>
      <w:keepLines/>
      <w:spacing w:before="260" w:after="260" w:line="416" w:lineRule="auto"/>
      <w:outlineLvl w:val="1"/>
    </w:pPr>
    <w:rPr>
      <w:rFonts w:ascii="Arial" w:hAnsi="Arial" w:eastAsia="黑体"/>
      <w:b/>
      <w:bCs/>
      <w:sz w:val="32"/>
      <w:szCs w:val="32"/>
    </w:rPr>
  </w:style>
  <w:style w:type="paragraph" w:styleId="4">
    <w:name w:val="heading 3"/>
    <w:basedOn w:val="5"/>
    <w:next w:val="1"/>
    <w:qFormat/>
    <w:uiPriority w:val="0"/>
    <w:pPr>
      <w:spacing w:line="360" w:lineRule="auto"/>
      <w:ind w:left="479" w:leftChars="0" w:hanging="479" w:hangingChars="199"/>
      <w:outlineLvl w:val="2"/>
    </w:pPr>
    <w:rPr>
      <w:rFonts w:ascii="黑体" w:hAnsi="黑体" w:eastAsia="黑体"/>
      <w:b/>
      <w:sz w:val="24"/>
      <w:szCs w:val="24"/>
    </w:rPr>
  </w:style>
  <w:style w:type="paragraph" w:styleId="6">
    <w:name w:val="heading 5"/>
    <w:basedOn w:val="1"/>
    <w:next w:val="1"/>
    <w:qFormat/>
    <w:uiPriority w:val="0"/>
    <w:pPr>
      <w:keepNext/>
      <w:jc w:val="center"/>
      <w:outlineLvl w:val="4"/>
    </w:pPr>
    <w:rPr>
      <w:rFonts w:ascii="黑体" w:eastAsia="黑体"/>
      <w:sz w:val="72"/>
      <w:szCs w:val="21"/>
    </w:rPr>
  </w:style>
  <w:style w:type="character" w:default="1" w:styleId="20">
    <w:name w:val="Default Paragraph Font"/>
    <w:unhideWhenUsed/>
    <w:qFormat/>
    <w:uiPriority w:val="1"/>
  </w:style>
  <w:style w:type="table" w:default="1" w:styleId="19">
    <w:name w:val="Normal Table"/>
    <w:semiHidden/>
    <w:unhideWhenUsed/>
    <w:qFormat/>
    <w:uiPriority w:val="99"/>
    <w:tblPr>
      <w:tblCellMar>
        <w:top w:w="0" w:type="dxa"/>
        <w:left w:w="108" w:type="dxa"/>
        <w:bottom w:w="0" w:type="dxa"/>
        <w:right w:w="108" w:type="dxa"/>
      </w:tblCellMar>
    </w:tblPr>
  </w:style>
  <w:style w:type="paragraph" w:customStyle="1" w:styleId="5">
    <w:name w:val="字母编号列项（一级）"/>
    <w:qFormat/>
    <w:uiPriority w:val="0"/>
    <w:pPr>
      <w:ind w:left="840" w:leftChars="200" w:hanging="420" w:hangingChars="200"/>
      <w:jc w:val="both"/>
    </w:pPr>
    <w:rPr>
      <w:rFonts w:ascii="宋体" w:hAnsi="Times New Roman" w:eastAsia="宋体" w:cs="Times New Roman"/>
      <w:sz w:val="21"/>
      <w:lang w:val="en-US" w:eastAsia="zh-CN" w:bidi="ar-SA"/>
    </w:rPr>
  </w:style>
  <w:style w:type="paragraph" w:styleId="7">
    <w:name w:val="Body Text"/>
    <w:basedOn w:val="1"/>
    <w:qFormat/>
    <w:uiPriority w:val="0"/>
    <w:pPr>
      <w:spacing w:after="120"/>
    </w:pPr>
  </w:style>
  <w:style w:type="paragraph" w:styleId="8">
    <w:name w:val="Body Text Indent"/>
    <w:basedOn w:val="1"/>
    <w:qFormat/>
    <w:uiPriority w:val="0"/>
    <w:pPr>
      <w:widowControl/>
      <w:ind w:firstLine="560" w:firstLineChars="200"/>
      <w:jc w:val="left"/>
    </w:pPr>
    <w:rPr>
      <w:rFonts w:ascii="宋体" w:hAnsi="宋体"/>
      <w:color w:val="000000"/>
      <w:sz w:val="28"/>
      <w:szCs w:val="33"/>
    </w:rPr>
  </w:style>
  <w:style w:type="paragraph" w:styleId="9">
    <w:name w:val="List 2"/>
    <w:basedOn w:val="1"/>
    <w:qFormat/>
    <w:uiPriority w:val="0"/>
    <w:pPr>
      <w:ind w:left="100" w:leftChars="200" w:hanging="200" w:hangingChars="200"/>
    </w:pPr>
  </w:style>
  <w:style w:type="paragraph" w:styleId="10">
    <w:name w:val="Body Text Indent 2"/>
    <w:basedOn w:val="1"/>
    <w:qFormat/>
    <w:uiPriority w:val="0"/>
    <w:pPr>
      <w:spacing w:after="120" w:line="480" w:lineRule="auto"/>
      <w:ind w:left="420" w:leftChars="200"/>
    </w:pPr>
  </w:style>
  <w:style w:type="paragraph" w:styleId="11">
    <w:name w:val="Balloon Text"/>
    <w:basedOn w:val="1"/>
    <w:link w:val="23"/>
    <w:qFormat/>
    <w:uiPriority w:val="0"/>
    <w:rPr>
      <w:sz w:val="18"/>
      <w:szCs w:val="18"/>
    </w:rPr>
  </w:style>
  <w:style w:type="paragraph" w:styleId="12">
    <w:name w:val="footer"/>
    <w:basedOn w:val="1"/>
    <w:qFormat/>
    <w:uiPriority w:val="0"/>
    <w:pPr>
      <w:tabs>
        <w:tab w:val="center" w:pos="4153"/>
        <w:tab w:val="right" w:pos="8306"/>
      </w:tabs>
      <w:snapToGrid w:val="0"/>
      <w:jc w:val="left"/>
    </w:pPr>
    <w:rPr>
      <w:sz w:val="18"/>
      <w:szCs w:val="18"/>
    </w:rPr>
  </w:style>
  <w:style w:type="paragraph" w:styleId="13">
    <w:name w:val="header"/>
    <w:basedOn w:val="1"/>
    <w:qFormat/>
    <w:uiPriority w:val="0"/>
    <w:pPr>
      <w:pBdr>
        <w:bottom w:val="single" w:color="auto" w:sz="6" w:space="1"/>
      </w:pBdr>
      <w:tabs>
        <w:tab w:val="center" w:pos="4153"/>
        <w:tab w:val="right" w:pos="8306"/>
      </w:tabs>
      <w:snapToGrid w:val="0"/>
      <w:jc w:val="center"/>
    </w:pPr>
    <w:rPr>
      <w:sz w:val="18"/>
      <w:szCs w:val="18"/>
    </w:rPr>
  </w:style>
  <w:style w:type="paragraph" w:styleId="14">
    <w:name w:val="toc 1"/>
    <w:basedOn w:val="1"/>
    <w:next w:val="1"/>
    <w:unhideWhenUsed/>
    <w:qFormat/>
    <w:uiPriority w:val="39"/>
    <w:pPr>
      <w:widowControl/>
      <w:spacing w:after="100" w:line="276" w:lineRule="auto"/>
      <w:jc w:val="left"/>
    </w:pPr>
    <w:rPr>
      <w:rFonts w:ascii="Calibri" w:hAnsi="Calibri"/>
      <w:kern w:val="0"/>
      <w:sz w:val="22"/>
      <w:szCs w:val="22"/>
    </w:rPr>
  </w:style>
  <w:style w:type="paragraph" w:styleId="15">
    <w:name w:val="Body Text Indent 3"/>
    <w:basedOn w:val="1"/>
    <w:qFormat/>
    <w:uiPriority w:val="0"/>
    <w:pPr>
      <w:spacing w:after="120"/>
      <w:ind w:left="420" w:leftChars="200"/>
    </w:pPr>
    <w:rPr>
      <w:sz w:val="16"/>
      <w:szCs w:val="16"/>
    </w:rPr>
  </w:style>
  <w:style w:type="paragraph" w:styleId="16">
    <w:name w:val="toc 2"/>
    <w:basedOn w:val="1"/>
    <w:next w:val="1"/>
    <w:unhideWhenUsed/>
    <w:qFormat/>
    <w:uiPriority w:val="39"/>
    <w:pPr>
      <w:widowControl/>
      <w:spacing w:after="100" w:line="276" w:lineRule="auto"/>
      <w:ind w:left="220"/>
      <w:jc w:val="left"/>
    </w:pPr>
    <w:rPr>
      <w:rFonts w:ascii="Calibri" w:hAnsi="Calibri"/>
      <w:kern w:val="0"/>
      <w:sz w:val="22"/>
      <w:szCs w:val="22"/>
    </w:rPr>
  </w:style>
  <w:style w:type="paragraph" w:styleId="17">
    <w:name w:val="Body Text 2"/>
    <w:basedOn w:val="1"/>
    <w:qFormat/>
    <w:uiPriority w:val="0"/>
    <w:pPr>
      <w:spacing w:after="120" w:line="480" w:lineRule="auto"/>
    </w:pPr>
  </w:style>
  <w:style w:type="paragraph" w:styleId="18">
    <w:name w:val="Title"/>
    <w:basedOn w:val="1"/>
    <w:next w:val="1"/>
    <w:qFormat/>
    <w:uiPriority w:val="0"/>
    <w:pPr>
      <w:spacing w:before="240" w:after="60"/>
      <w:jc w:val="center"/>
      <w:outlineLvl w:val="0"/>
    </w:pPr>
    <w:rPr>
      <w:rFonts w:ascii="Cambria" w:hAnsi="Cambria"/>
      <w:b/>
      <w:bCs/>
      <w:sz w:val="32"/>
      <w:szCs w:val="32"/>
    </w:rPr>
  </w:style>
  <w:style w:type="character" w:styleId="21">
    <w:name w:val="page number"/>
    <w:basedOn w:val="20"/>
    <w:qFormat/>
    <w:uiPriority w:val="0"/>
  </w:style>
  <w:style w:type="character" w:styleId="22">
    <w:name w:val="Hyperlink"/>
    <w:basedOn w:val="20"/>
    <w:qFormat/>
    <w:uiPriority w:val="0"/>
    <w:rPr>
      <w:color w:val="0000FF"/>
      <w:u w:val="single"/>
    </w:rPr>
  </w:style>
  <w:style w:type="character" w:customStyle="1" w:styleId="23">
    <w:name w:val="批注框文本 字符"/>
    <w:basedOn w:val="20"/>
    <w:link w:val="11"/>
    <w:qFormat/>
    <w:uiPriority w:val="0"/>
    <w:rPr>
      <w:kern w:val="2"/>
      <w:sz w:val="18"/>
      <w:szCs w:val="18"/>
    </w:rPr>
  </w:style>
  <w:style w:type="paragraph" w:customStyle="1" w:styleId="24">
    <w:name w:val="Default"/>
    <w:qFormat/>
    <w:uiPriority w:val="0"/>
    <w:pPr>
      <w:widowControl w:val="0"/>
      <w:autoSpaceDE w:val="0"/>
      <w:autoSpaceDN w:val="0"/>
      <w:adjustRightInd w:val="0"/>
    </w:pPr>
    <w:rPr>
      <w:rFonts w:hint="eastAsia" w:ascii=".." w:hAnsi="Times New Roman" w:eastAsia=".." w:cs="Times New Roman"/>
      <w:color w:val="000000"/>
      <w:sz w:val="24"/>
      <w:szCs w:val="24"/>
      <w:lang w:val="en-US" w:eastAsia="zh-CN" w:bidi="ar-SA"/>
    </w:rPr>
  </w:style>
  <w:style w:type="paragraph" w:customStyle="1" w:styleId="25">
    <w:name w:val="二级条标题"/>
    <w:basedOn w:val="26"/>
    <w:next w:val="1"/>
    <w:qFormat/>
    <w:uiPriority w:val="0"/>
    <w:pPr>
      <w:outlineLvl w:val="3"/>
    </w:pPr>
  </w:style>
  <w:style w:type="paragraph" w:customStyle="1" w:styleId="26">
    <w:name w:val="一级条标题"/>
    <w:next w:val="27"/>
    <w:qFormat/>
    <w:uiPriority w:val="0"/>
    <w:pPr>
      <w:outlineLvl w:val="2"/>
    </w:pPr>
    <w:rPr>
      <w:rFonts w:ascii="Times New Roman" w:hAnsi="Times New Roman" w:eastAsia="黑体" w:cs="Times New Roman"/>
      <w:sz w:val="21"/>
      <w:lang w:val="en-US" w:eastAsia="zh-CN" w:bidi="ar-SA"/>
    </w:rPr>
  </w:style>
  <w:style w:type="paragraph" w:customStyle="1" w:styleId="27">
    <w:name w:val="段"/>
    <w:qFormat/>
    <w:uiPriority w:val="0"/>
    <w:pPr>
      <w:autoSpaceDE w:val="0"/>
      <w:autoSpaceDN w:val="0"/>
      <w:ind w:firstLine="200" w:firstLineChars="200"/>
      <w:jc w:val="both"/>
    </w:pPr>
    <w:rPr>
      <w:rFonts w:hint="eastAsia" w:ascii="宋体" w:hAnsi="Times New Roman" w:eastAsia="宋体" w:cs="Times New Roman"/>
      <w:sz w:val="21"/>
      <w:lang w:val="en-US" w:eastAsia="zh-CN" w:bidi="ar-SA"/>
    </w:rPr>
  </w:style>
  <w:style w:type="paragraph" w:styleId="28">
    <w:name w:val="List Paragraph"/>
    <w:basedOn w:val="1"/>
    <w:unhideWhenUsed/>
    <w:qFormat/>
    <w:uiPriority w:val="99"/>
    <w:pPr>
      <w:ind w:firstLine="420" w:firstLineChars="200"/>
    </w:pPr>
  </w:style>
</w:styles>
</file>

<file path=word/_rels/document.xml.rels><?xml version="1.0" encoding="UTF-8" standalone="yes"?>
<Relationships xmlns="http://schemas.openxmlformats.org/package/2006/relationships"><Relationship Id="rId9" Type="http://schemas.openxmlformats.org/officeDocument/2006/relationships/footer" Target="footer4.xml"/><Relationship Id="rId8" Type="http://schemas.openxmlformats.org/officeDocument/2006/relationships/footer" Target="footer3.xml"/><Relationship Id="rId7" Type="http://schemas.openxmlformats.org/officeDocument/2006/relationships/footer" Target="footer2.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5" Type="http://schemas.openxmlformats.org/officeDocument/2006/relationships/fontTable" Target="fontTable.xml"/><Relationship Id="rId14" Type="http://schemas.openxmlformats.org/officeDocument/2006/relationships/numbering" Target="numbering.xml"/><Relationship Id="rId13" Type="http://schemas.openxmlformats.org/officeDocument/2006/relationships/customXml" Target="../customXml/item1.xml"/><Relationship Id="rId12" Type="http://schemas.openxmlformats.org/officeDocument/2006/relationships/image" Target="media/image4.wmf"/><Relationship Id="rId11" Type="http://schemas.openxmlformats.org/officeDocument/2006/relationships/oleObject" Target="embeddings/oleObject1.bin"/><Relationship Id="rId10" Type="http://schemas.openxmlformats.org/officeDocument/2006/relationships/theme" Target="theme/theme1.xml"/><Relationship Id="rId1" Type="http://schemas.openxmlformats.org/officeDocument/2006/relationships/styles" Target="styles.xml"/></Relationships>
</file>

<file path=word/_rels/header1.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3.jpeg"/></Relationships>
</file>

<file path=word/_rels/header3.xml.rels><?xml version="1.0" encoding="UTF-8" standalone="yes"?>
<Relationships xmlns="http://schemas.openxmlformats.org/package/2006/relationships"><Relationship Id="rId1" Type="http://schemas.openxmlformats.org/officeDocument/2006/relationships/image" Target="media/image3.jpeg"/></Relationships>
</file>

<file path=word/_rels/settings.xml.rels><?xml version="1.0" encoding="UTF-8" standalone="yes"?>
<Relationships xmlns="http://schemas.openxmlformats.org/package/2006/relationships"><Relationship Id="rId1" Type="http://schemas.openxmlformats.org/officeDocument/2006/relationships/attachedTemplate" Target="/home/user/C:\Users\hh.DCP\Desktop\&#36890;&#29992;&#31867;&#25991;&#20214;\&#31649;&#29702;&#24615;&#20316;&#19994;&#25991;&#20214;\ZY-ZH-01&#25991;&#20214;&#35760;&#24405;&#32534;&#20889;&#27169;&#29256;&#21450;&#20351;&#29992;&#35828;&#26126;\&#38468;&#20214;1%20%20&#20844;&#24320;&#25991;&#20214;&#27169;&#29256;.dot" TargetMode="Externa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true">
          <a:gsLst>
            <a:gs pos="0">
              <a:schemeClr val="phClr">
                <a:tint val="50000"/>
                <a:satMod val="300000"/>
              </a:schemeClr>
            </a:gs>
            <a:gs pos="35000">
              <a:schemeClr val="phClr">
                <a:tint val="37000"/>
                <a:satMod val="300000"/>
              </a:schemeClr>
            </a:gs>
            <a:gs pos="100000">
              <a:schemeClr val="phClr">
                <a:tint val="15000"/>
                <a:satMod val="350000"/>
              </a:schemeClr>
            </a:gs>
          </a:gsLst>
          <a:lin ang="16200000" scaled="true"/>
        </a:gradFill>
        <a:gradFill rotWithShape="true">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false"/>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true">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true">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ops>
  <customShpExts>
    <customShpInfo spid="_x0000_s1026" textRotate="1"/>
    <customShpInfo spid="_x0000_s2050"/>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附件1  公开文件模版</Template>
  <Company>fy</Company>
  <Pages>20</Pages>
  <Words>10097</Words>
  <Characters>10684</Characters>
  <Lines>87</Lines>
  <Paragraphs>24</Paragraphs>
  <TotalTime>11</TotalTime>
  <ScaleCrop>false</ScaleCrop>
  <LinksUpToDate>false</LinksUpToDate>
  <CharactersWithSpaces>10865</CharactersWithSpaces>
  <Application>WPS Office_11.8.2.10125_F1E327BC-269C-435d-A152-05C5408002CA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2023-04-07T16:32:00Z</dcterms:created>
  <dc:creator>hh</dc:creator>
  <cp:lastModifiedBy>王朝国</cp:lastModifiedBy>
  <cp:lastPrinted>2023-04-07T13:36:00Z</cp:lastPrinted>
  <dcterms:modified xsi:type="dcterms:W3CDTF">2025-09-11T12:06:55Z</dcterms:modified>
  <cp:revision>6</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2052-11.8.2.10125</vt:lpwstr>
  </property>
  <property fmtid="{D5CDD505-2E9C-101B-9397-08002B2CF9AE}" pid="3" name="ICV">
    <vt:lpwstr>11F6241BF57F48C883629A56B4D230F3_13</vt:lpwstr>
  </property>
</Properties>
</file>