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188"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74930</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8"/>
                              <w:spacing w:before="0" w:after="0"/>
                              <w:jc w:val="center"/>
                              <w:rPr>
                                <w:rFonts w:ascii="黑体" w:hAnsi="黑体" w:eastAsia="黑体"/>
                                <w:b w:val="0"/>
                                <w:sz w:val="52"/>
                                <w:szCs w:val="52"/>
                              </w:rPr>
                            </w:pPr>
                            <w:bookmarkStart w:id="186" w:name="_Toc444776325"/>
                            <w:bookmarkStart w:id="187" w:name="_Toc440007486"/>
                            <w:r>
                              <w:rPr>
                                <w:rFonts w:hint="eastAsia" w:ascii="黑体" w:hAnsi="Times New Roman" w:eastAsia="黑体" w:cs="Times New Roman"/>
                                <w:b w:val="0"/>
                                <w:bCs w:val="0"/>
                                <w:color w:val="002071"/>
                                <w:kern w:val="2"/>
                                <w:sz w:val="52"/>
                                <w:szCs w:val="52"/>
                                <w:lang w:val="en-US" w:eastAsia="zh-CN" w:bidi="ar-SA"/>
                              </w:rPr>
                              <w:t>反贿赂管理体系认证实施方案</w:t>
                            </w:r>
                            <w:bookmarkEnd w:id="186"/>
                            <w:bookmarkEnd w:id="187"/>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5.9pt;margin-top:8.8pt;height:128.5pt;width:403.8pt;z-index:251660288;mso-width-relative:page;mso-height-relative:page;" filled="f" stroked="f" coordsize="21600,21600" o:gfxdata="UEsFBgAAAAAAAAAAAAAAAAAAAAAAAFBLAwQKAAAAAACHTuJAAAAAAAAAAAAAAAAABAAAAGRycy9Q&#10;SwMEFAAAAAgAh07iQB2N93HYAAAACQEAAA8AAABkcnMvZG93bnJldi54bWxNj8FOwzAQRO9I/IO1&#10;SFwQtVOqNIQ4lShwoRcIXLi58ZJE2Osodtvw9ywnOI1Gs5p5W21m78QRpzgE0pAtFAikNtiBOg3v&#10;b0/XBYiYDFnjAqGGb4ywqc/PKlPacKJXPDapE1xCsTQa+pTGUsrY9uhNXIQRibPPMHmT2E6dtJM5&#10;cbl3cqlULr0ZiBd6M+K2x/arOXgNw727Udvn3dWL//Bz0T2oNjSPWl9eZOoORMI5/R3DLz6jQ81M&#10;+3AgG4VjnzF5Yl3nIDgvstsViL2G5XqVg6wr+f+D+gdQSwMEFAAAAAgAh07iQM+aJkb3AQAA2gMA&#10;AA4AAABkcnMvZTJvRG9jLnhtbK1T227bMAx9H7B/EPS+2PGCLTHiFF2LDgO6C9DuAxhZjoXZokYp&#10;sbOvHyUnWbe+FXsRKJI6PIek1ldj34mDJm/QVnI+y6XQVmFt7K6S3x/v3iyl8AFsDR1aXcmj9vJq&#10;8/rVenClLrDFrtYkGMT6cnCVbENwZZZ51eoe/AydthxskHoIfKVdVhMMjN53WZHn77IBqXaESnvP&#10;3tspKDcJv2m0Cl+bxusgukoyt5BOSuc2ntlmDeWOwLVGnWjAC1j0YCwXvUDdQgCxJ/MMqjeK0GMT&#10;Zgr7DJvGKJ00sJp5/o+ahxacTlq4Od5d2uT/H6z6cvhGwtSVXElhoecRPeoxiA84ikXszuB8yUkP&#10;jtPCyO5KBtpHVlB6d4/qhxcWb1qwO31NhEOroWaCKYnfZ08AJjQfobbDZ6y5GOwDJqyxoT5icksE&#10;1+BZHS/ziYQUOxdv58Wq4JDi2PtVsVimAWZQnl878uGjxl5Eo5LE80/ocLj3IbKB8pwSi1m8M12X&#10;dqCzfzk4cfLotESn11FLpD8JCeN2PHVoi/WRVRFOC8Yfgo0W6ZcUAy9XJf3PPZCWovtkuTlxE5Mx&#10;XyzynG90dm+TsSyW0QtWMQb38mzeBL410HlG2jsyu5bLXMZh8Zq72ZgkNFKdWJ1mwAuU9J+WPW7o&#10;03vK+vMlN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HY33cdgAAAAJAQAADwAAAAAAAAABACAA&#10;AAA4AAAAZHJzL2Rvd25yZXYueG1sUEsBAhQAFAAAAAgAh07iQM+aJkb3AQAA2gMAAA4AAAAAAAAA&#10;AQAgAAAAPQEAAGRycy9lMm9Eb2MueG1sUEsFBgAAAAAGAAYAWQEAAKYFAAAAAA==&#10;">
                <v:fill on="f" focussize="0,0"/>
                <v:stroke on="f"/>
                <v:imagedata o:title=""/>
                <o:lock v:ext="edit" aspectratio="f"/>
                <v:textbox inset="0mm,4mm,0mm,2.3mm">
                  <w:txbxContent>
                    <w:p>
                      <w:pPr>
                        <w:pStyle w:val="18"/>
                        <w:spacing w:before="0" w:after="0"/>
                        <w:jc w:val="center"/>
                        <w:rPr>
                          <w:rFonts w:ascii="黑体" w:hAnsi="黑体" w:eastAsia="黑体"/>
                          <w:b w:val="0"/>
                          <w:sz w:val="52"/>
                          <w:szCs w:val="52"/>
                        </w:rPr>
                      </w:pPr>
                      <w:bookmarkStart w:id="186" w:name="_Toc444776325"/>
                      <w:bookmarkStart w:id="187" w:name="_Toc440007486"/>
                      <w:r>
                        <w:rPr>
                          <w:rFonts w:hint="eastAsia" w:ascii="黑体" w:hAnsi="Times New Roman" w:eastAsia="黑体" w:cs="Times New Roman"/>
                          <w:b w:val="0"/>
                          <w:bCs w:val="0"/>
                          <w:color w:val="002071"/>
                          <w:kern w:val="2"/>
                          <w:sz w:val="52"/>
                          <w:szCs w:val="52"/>
                          <w:lang w:val="en-US" w:eastAsia="zh-CN" w:bidi="ar-SA"/>
                        </w:rPr>
                        <w:t>反贿赂管理体系认证实施方案</w:t>
                      </w:r>
                      <w:bookmarkEnd w:id="186"/>
                      <w:bookmarkEnd w:id="187"/>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9"/>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default"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rPr>
              <w:t>CQM/S-FN-</w:t>
            </w:r>
            <w:r>
              <w:rPr>
                <w:rFonts w:hint="eastAsia" w:ascii="隶书" w:hAnsi="思源黑体 CN Medium" w:eastAsia="隶书" w:cs="思源黑体 CN Medium"/>
                <w:color w:val="002071"/>
                <w:sz w:val="28"/>
                <w:szCs w:val="15"/>
                <w:highlight w:val="none"/>
                <w:lang w:val="en-US" w:eastAsia="zh-CN"/>
              </w:rPr>
              <w:t>59</w:t>
            </w:r>
            <w:r>
              <w:rPr>
                <w:rFonts w:hint="eastAsia" w:ascii="隶书" w:hAnsi="思源黑体 CN Medium" w:eastAsia="隶书" w:cs="思源黑体 CN Medium"/>
                <w:color w:val="002071"/>
                <w:sz w:val="28"/>
                <w:szCs w:val="15"/>
                <w:highlight w:val="none"/>
              </w:rPr>
              <w:t>-0</w:t>
            </w:r>
            <w:r>
              <w:rPr>
                <w:rFonts w:hint="eastAsia" w:ascii="隶书" w:hAnsi="思源黑体 CN Medium" w:eastAsia="隶书" w:cs="思源黑体 CN Medium"/>
                <w:color w:val="002071"/>
                <w:sz w:val="28"/>
                <w:szCs w:val="15"/>
                <w:highlight w:val="none"/>
                <w:lang w:val="en-US" w:eastAsia="zh-CN"/>
              </w:rPr>
              <w:t>58</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w:t>
            </w:r>
            <w:r>
              <w:rPr>
                <w:rFonts w:hint="eastAsia" w:ascii="隶书" w:hAnsi="思源黑体 CN Medium" w:eastAsia="隶书" w:cs="思源黑体 CN Medium"/>
                <w:color w:val="002071"/>
                <w:sz w:val="28"/>
                <w:szCs w:val="15"/>
                <w:highlight w:val="none"/>
                <w:lang w:val="en-US" w:eastAsia="zh-CN"/>
              </w:rPr>
              <w:t>4</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09</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05</w:t>
            </w:r>
            <w:r>
              <w:rPr>
                <w:rFonts w:hint="eastAsia" w:ascii="隶书" w:hAnsi="思源黑体 CN Medium" w:eastAsia="隶书" w:cs="思源黑体 CN Medium"/>
                <w:color w:val="002071"/>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default"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2025年06月13日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lang w:val="en-US" w:eastAsia="zh-CN"/>
              </w:rPr>
              <w:t>2025年06月13日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spacing w:line="360" w:lineRule="auto"/>
        <w:ind w:firstLine="480" w:firstLineChars="200"/>
        <w:rPr>
          <w:rFonts w:hint="eastAsia" w:ascii="宋体" w:hAnsi="宋体"/>
          <w:sz w:val="24"/>
          <w:highlight w:val="none"/>
        </w:rPr>
      </w:pPr>
      <w:bookmarkStart w:id="0" w:name="_Toc33599579"/>
      <w:bookmarkStart w:id="1" w:name="_Toc33600364"/>
      <w:bookmarkStart w:id="2" w:name="_Toc33598533"/>
      <w:bookmarkStart w:id="3" w:name="_Toc33598964"/>
      <w:bookmarkStart w:id="4" w:name="_Toc33598904"/>
      <w:bookmarkStart w:id="5" w:name="_Toc33600413"/>
      <w:bookmarkStart w:id="6" w:name="_Toc33599706"/>
    </w:p>
    <w:bookmarkEnd w:id="0"/>
    <w:bookmarkEnd w:id="1"/>
    <w:bookmarkEnd w:id="2"/>
    <w:bookmarkEnd w:id="3"/>
    <w:bookmarkEnd w:id="4"/>
    <w:bookmarkEnd w:id="5"/>
    <w:bookmarkEnd w:id="6"/>
    <w:p>
      <w:pPr>
        <w:ind w:firstLine="602" w:firstLineChars="200"/>
        <w:jc w:val="center"/>
        <w:rPr>
          <w:rFonts w:hint="eastAsia" w:ascii="黑体" w:hAnsi="黑体" w:eastAsia="黑体" w:cs="黑体"/>
          <w:b/>
          <w:bCs/>
          <w:sz w:val="30"/>
          <w:highlight w:val="none"/>
        </w:rPr>
      </w:pPr>
      <w:r>
        <w:rPr>
          <w:rFonts w:hint="eastAsia" w:ascii="黑体" w:hAnsi="黑体" w:eastAsia="黑体" w:cs="黑体"/>
          <w:b/>
          <w:bCs/>
          <w:sz w:val="30"/>
          <w:highlight w:val="none"/>
        </w:rPr>
        <w:t>目    录</w:t>
      </w:r>
    </w:p>
    <w:p>
      <w:pPr>
        <w:pStyle w:val="14"/>
        <w:tabs>
          <w:tab w:val="right" w:leader="dot" w:pos="8312"/>
        </w:tabs>
        <w:rPr>
          <w:highlight w:val="none"/>
        </w:rPr>
      </w:pPr>
      <w:r>
        <w:rPr>
          <w:b w:val="0"/>
          <w:bCs w:val="0"/>
          <w:sz w:val="22"/>
          <w:szCs w:val="22"/>
          <w:highlight w:val="none"/>
        </w:rPr>
        <w:fldChar w:fldCharType="begin"/>
      </w:r>
      <w:r>
        <w:rPr>
          <w:b w:val="0"/>
          <w:bCs w:val="0"/>
          <w:sz w:val="22"/>
          <w:szCs w:val="22"/>
          <w:highlight w:val="none"/>
        </w:rPr>
        <w:instrText xml:space="preserve">TOC \o "1-1" \h \u </w:instrText>
      </w:r>
      <w:r>
        <w:rPr>
          <w:b w:val="0"/>
          <w:bCs w:val="0"/>
          <w:sz w:val="22"/>
          <w:szCs w:val="22"/>
          <w:highlight w:val="none"/>
        </w:rPr>
        <w:fldChar w:fldCharType="separate"/>
      </w:r>
      <w:r>
        <w:rPr>
          <w:bCs w:val="0"/>
          <w:szCs w:val="22"/>
          <w:highlight w:val="none"/>
        </w:rPr>
        <w:fldChar w:fldCharType="begin"/>
      </w:r>
      <w:r>
        <w:rPr>
          <w:bCs w:val="0"/>
          <w:szCs w:val="22"/>
          <w:highlight w:val="none"/>
        </w:rPr>
        <w:instrText xml:space="preserve"> HYPERLINK \l _Toc1168 </w:instrText>
      </w:r>
      <w:r>
        <w:rPr>
          <w:bCs w:val="0"/>
          <w:szCs w:val="22"/>
          <w:highlight w:val="none"/>
        </w:rPr>
        <w:fldChar w:fldCharType="separate"/>
      </w:r>
      <w:r>
        <w:rPr>
          <w:highlight w:val="none"/>
        </w:rPr>
        <w:t>1</w:t>
      </w:r>
      <w:r>
        <w:rPr>
          <w:rFonts w:hint="eastAsia"/>
          <w:highlight w:val="none"/>
        </w:rPr>
        <w:t xml:space="preserve"> 适用范围</w:t>
      </w:r>
      <w:r>
        <w:rPr>
          <w:highlight w:val="none"/>
        </w:rPr>
        <w:tab/>
      </w:r>
      <w:r>
        <w:rPr>
          <w:highlight w:val="none"/>
        </w:rPr>
        <w:fldChar w:fldCharType="begin"/>
      </w:r>
      <w:r>
        <w:rPr>
          <w:highlight w:val="none"/>
        </w:rPr>
        <w:instrText xml:space="preserve"> PAGEREF _Toc1168 \h </w:instrText>
      </w:r>
      <w:r>
        <w:rPr>
          <w:highlight w:val="none"/>
        </w:rPr>
        <w:fldChar w:fldCharType="separate"/>
      </w:r>
      <w:r>
        <w:rPr>
          <w:highlight w:val="none"/>
        </w:rPr>
        <w:t>2</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_Toc13983 </w:instrText>
      </w:r>
      <w:r>
        <w:rPr>
          <w:bCs w:val="0"/>
          <w:szCs w:val="22"/>
          <w:highlight w:val="none"/>
        </w:rPr>
        <w:fldChar w:fldCharType="separate"/>
      </w:r>
      <w:r>
        <w:rPr>
          <w:rFonts w:hint="eastAsia"/>
          <w:highlight w:val="none"/>
        </w:rPr>
        <w:t xml:space="preserve">2 </w:t>
      </w:r>
      <w:r>
        <w:rPr>
          <w:rFonts w:hint="eastAsia"/>
          <w:highlight w:val="none"/>
          <w:lang w:val="en-US" w:eastAsia="zh-CN"/>
        </w:rPr>
        <w:t>认证依据</w:t>
      </w:r>
      <w:r>
        <w:rPr>
          <w:rFonts w:hint="eastAsia"/>
          <w:highlight w:val="none"/>
          <w:lang w:val="en-US" w:eastAsia="zh-CN"/>
        </w:rPr>
        <w:t>和</w:t>
      </w:r>
      <w:r>
        <w:rPr>
          <w:rFonts w:hint="eastAsia"/>
          <w:highlight w:val="none"/>
        </w:rPr>
        <w:t>认证模式</w:t>
      </w:r>
      <w:r>
        <w:rPr>
          <w:highlight w:val="none"/>
        </w:rPr>
        <w:tab/>
      </w:r>
      <w:r>
        <w:rPr>
          <w:highlight w:val="none"/>
        </w:rPr>
        <w:fldChar w:fldCharType="begin"/>
      </w:r>
      <w:r>
        <w:rPr>
          <w:highlight w:val="none"/>
        </w:rPr>
        <w:instrText xml:space="preserve"> PAGEREF _Toc13983 \h </w:instrText>
      </w:r>
      <w:r>
        <w:rPr>
          <w:highlight w:val="none"/>
        </w:rPr>
        <w:fldChar w:fldCharType="separate"/>
      </w:r>
      <w:r>
        <w:rPr>
          <w:highlight w:val="none"/>
        </w:rPr>
        <w:t>2</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_Toc22105 </w:instrText>
      </w:r>
      <w:r>
        <w:rPr>
          <w:bCs w:val="0"/>
          <w:szCs w:val="22"/>
          <w:highlight w:val="none"/>
        </w:rPr>
        <w:fldChar w:fldCharType="separate"/>
      </w:r>
      <w:r>
        <w:rPr>
          <w:rFonts w:hint="eastAsia"/>
          <w:highlight w:val="none"/>
        </w:rPr>
        <w:t>3 认证过程流程图</w:t>
      </w:r>
      <w:r>
        <w:rPr>
          <w:highlight w:val="none"/>
        </w:rPr>
        <w:tab/>
      </w:r>
      <w:r>
        <w:rPr>
          <w:highlight w:val="none"/>
        </w:rPr>
        <w:fldChar w:fldCharType="begin"/>
      </w:r>
      <w:r>
        <w:rPr>
          <w:highlight w:val="none"/>
        </w:rPr>
        <w:instrText xml:space="preserve"> PAGEREF _Toc22105 \h </w:instrText>
      </w:r>
      <w:r>
        <w:rPr>
          <w:highlight w:val="none"/>
        </w:rPr>
        <w:fldChar w:fldCharType="separate"/>
      </w:r>
      <w:r>
        <w:rPr>
          <w:highlight w:val="none"/>
        </w:rPr>
        <w:t>2</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_Toc7976 </w:instrText>
      </w:r>
      <w:r>
        <w:rPr>
          <w:bCs w:val="0"/>
          <w:szCs w:val="22"/>
          <w:highlight w:val="none"/>
        </w:rPr>
        <w:fldChar w:fldCharType="separate"/>
      </w:r>
      <w:r>
        <w:rPr>
          <w:rFonts w:hint="eastAsia"/>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_Toc7976 \h </w:instrText>
      </w:r>
      <w:r>
        <w:rPr>
          <w:highlight w:val="none"/>
        </w:rPr>
        <w:fldChar w:fldCharType="separate"/>
      </w:r>
      <w:r>
        <w:rPr>
          <w:highlight w:val="none"/>
        </w:rPr>
        <w:t>3</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_Toc12214 </w:instrText>
      </w:r>
      <w:r>
        <w:rPr>
          <w:bCs w:val="0"/>
          <w:szCs w:val="22"/>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_Toc12214 \h </w:instrText>
      </w:r>
      <w:r>
        <w:rPr>
          <w:highlight w:val="none"/>
        </w:rPr>
        <w:fldChar w:fldCharType="separate"/>
      </w:r>
      <w:r>
        <w:rPr>
          <w:highlight w:val="none"/>
        </w:rPr>
        <w:t>4</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_Toc21578 </w:instrText>
      </w:r>
      <w:r>
        <w:rPr>
          <w:bCs w:val="0"/>
          <w:szCs w:val="22"/>
          <w:highlight w:val="none"/>
        </w:rPr>
        <w:fldChar w:fldCharType="separate"/>
      </w:r>
      <w:r>
        <w:rPr>
          <w:rFonts w:hint="eastAsia"/>
          <w:highlight w:val="none"/>
          <w:lang w:val="en-US" w:eastAsia="zh-CN"/>
        </w:rPr>
        <w:t>6</w:t>
      </w:r>
      <w:r>
        <w:rPr>
          <w:rFonts w:hint="eastAsia"/>
          <w:highlight w:val="none"/>
        </w:rPr>
        <w:t xml:space="preserve"> 审核实施</w:t>
      </w:r>
      <w:r>
        <w:rPr>
          <w:highlight w:val="none"/>
        </w:rPr>
        <w:tab/>
      </w:r>
      <w:r>
        <w:rPr>
          <w:highlight w:val="none"/>
        </w:rPr>
        <w:fldChar w:fldCharType="begin"/>
      </w:r>
      <w:r>
        <w:rPr>
          <w:highlight w:val="none"/>
        </w:rPr>
        <w:instrText xml:space="preserve"> PAGEREF _Toc21578 \h </w:instrText>
      </w:r>
      <w:r>
        <w:rPr>
          <w:highlight w:val="none"/>
        </w:rPr>
        <w:fldChar w:fldCharType="separate"/>
      </w:r>
      <w:r>
        <w:rPr>
          <w:highlight w:val="none"/>
        </w:rPr>
        <w:t>4</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_Toc24138 </w:instrText>
      </w:r>
      <w:r>
        <w:rPr>
          <w:bCs w:val="0"/>
          <w:szCs w:val="22"/>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_Toc24138 \h </w:instrText>
      </w:r>
      <w:r>
        <w:rPr>
          <w:highlight w:val="none"/>
        </w:rPr>
        <w:fldChar w:fldCharType="separate"/>
      </w:r>
      <w:r>
        <w:rPr>
          <w:highlight w:val="none"/>
        </w:rPr>
        <w:t>8</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_Toc10692 </w:instrText>
      </w:r>
      <w:r>
        <w:rPr>
          <w:bCs w:val="0"/>
          <w:szCs w:val="22"/>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_Toc10692 \h </w:instrText>
      </w:r>
      <w:r>
        <w:rPr>
          <w:highlight w:val="none"/>
        </w:rPr>
        <w:fldChar w:fldCharType="separate"/>
      </w:r>
      <w:r>
        <w:rPr>
          <w:highlight w:val="none"/>
        </w:rPr>
        <w:t>9</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_Toc22742 </w:instrText>
      </w:r>
      <w:r>
        <w:rPr>
          <w:bCs w:val="0"/>
          <w:szCs w:val="22"/>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_Toc22742 \h </w:instrText>
      </w:r>
      <w:r>
        <w:rPr>
          <w:highlight w:val="none"/>
        </w:rPr>
        <w:fldChar w:fldCharType="separate"/>
      </w:r>
      <w:r>
        <w:rPr>
          <w:highlight w:val="none"/>
        </w:rPr>
        <w:t>9</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_Toc27984 </w:instrText>
      </w:r>
      <w:r>
        <w:rPr>
          <w:bCs w:val="0"/>
          <w:szCs w:val="22"/>
          <w:highlight w:val="none"/>
        </w:rPr>
        <w:fldChar w:fldCharType="separate"/>
      </w:r>
      <w:r>
        <w:rPr>
          <w:rFonts w:hint="eastAsia"/>
          <w:highlight w:val="none"/>
          <w:lang w:val="en-US" w:eastAsia="zh-CN"/>
        </w:rPr>
        <w:t>10</w:t>
      </w:r>
      <w:r>
        <w:rPr>
          <w:rFonts w:hint="eastAsia"/>
          <w:highlight w:val="none"/>
        </w:rPr>
        <w:t xml:space="preserve"> 认证的批准、拒绝、保持、扩大、缩小、暂停、恢复和撤销的条件和程序</w:t>
      </w:r>
      <w:r>
        <w:rPr>
          <w:highlight w:val="none"/>
        </w:rPr>
        <w:tab/>
      </w:r>
      <w:r>
        <w:rPr>
          <w:highlight w:val="none"/>
        </w:rPr>
        <w:fldChar w:fldCharType="begin"/>
      </w:r>
      <w:r>
        <w:rPr>
          <w:highlight w:val="none"/>
        </w:rPr>
        <w:instrText xml:space="preserve"> PAGEREF _Toc27984 \h </w:instrText>
      </w:r>
      <w:r>
        <w:rPr>
          <w:highlight w:val="none"/>
        </w:rPr>
        <w:fldChar w:fldCharType="separate"/>
      </w:r>
      <w:r>
        <w:rPr>
          <w:highlight w:val="none"/>
        </w:rPr>
        <w:t>10</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_Toc2112 </w:instrText>
      </w:r>
      <w:r>
        <w:rPr>
          <w:bCs w:val="0"/>
          <w:szCs w:val="22"/>
          <w:highlight w:val="none"/>
        </w:rPr>
        <w:fldChar w:fldCharType="separate"/>
      </w:r>
      <w:r>
        <w:rPr>
          <w:rFonts w:hint="eastAsia"/>
          <w:highlight w:val="none"/>
          <w:lang w:val="en-US" w:eastAsia="zh-CN"/>
        </w:rPr>
        <w:t>11</w:t>
      </w:r>
      <w:r>
        <w:rPr>
          <w:rFonts w:hint="eastAsia"/>
          <w:highlight w:val="none"/>
        </w:rPr>
        <w:t xml:space="preserve"> 认证证书和认证标志</w:t>
      </w:r>
      <w:r>
        <w:rPr>
          <w:highlight w:val="none"/>
        </w:rPr>
        <w:tab/>
      </w:r>
      <w:r>
        <w:rPr>
          <w:highlight w:val="none"/>
        </w:rPr>
        <w:fldChar w:fldCharType="begin"/>
      </w:r>
      <w:r>
        <w:rPr>
          <w:highlight w:val="none"/>
        </w:rPr>
        <w:instrText xml:space="preserve"> PAGEREF _Toc2112 \h </w:instrText>
      </w:r>
      <w:r>
        <w:rPr>
          <w:highlight w:val="none"/>
        </w:rPr>
        <w:fldChar w:fldCharType="separate"/>
      </w:r>
      <w:r>
        <w:rPr>
          <w:highlight w:val="none"/>
        </w:rPr>
        <w:t>18</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_Toc13831 </w:instrText>
      </w:r>
      <w:r>
        <w:rPr>
          <w:bCs w:val="0"/>
          <w:szCs w:val="22"/>
          <w:highlight w:val="none"/>
        </w:rPr>
        <w:fldChar w:fldCharType="separate"/>
      </w:r>
      <w:r>
        <w:rPr>
          <w:rFonts w:hint="eastAsia"/>
          <w:highlight w:val="none"/>
          <w:lang w:val="en-US" w:eastAsia="zh-CN"/>
        </w:rPr>
        <w:t>12</w:t>
      </w:r>
      <w:r>
        <w:rPr>
          <w:rFonts w:hint="eastAsia"/>
          <w:highlight w:val="none"/>
        </w:rPr>
        <w:t xml:space="preserve"> 获证客户的信息通报</w:t>
      </w:r>
      <w:r>
        <w:rPr>
          <w:highlight w:val="none"/>
        </w:rPr>
        <w:tab/>
      </w:r>
      <w:r>
        <w:rPr>
          <w:highlight w:val="none"/>
        </w:rPr>
        <w:fldChar w:fldCharType="begin"/>
      </w:r>
      <w:r>
        <w:rPr>
          <w:highlight w:val="none"/>
        </w:rPr>
        <w:instrText xml:space="preserve"> PAGEREF _Toc13831 \h </w:instrText>
      </w:r>
      <w:r>
        <w:rPr>
          <w:highlight w:val="none"/>
        </w:rPr>
        <w:fldChar w:fldCharType="separate"/>
      </w:r>
      <w:r>
        <w:rPr>
          <w:highlight w:val="none"/>
        </w:rPr>
        <w:t>19</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_Toc23008 </w:instrText>
      </w:r>
      <w:r>
        <w:rPr>
          <w:bCs w:val="0"/>
          <w:szCs w:val="22"/>
          <w:highlight w:val="none"/>
        </w:rPr>
        <w:fldChar w:fldCharType="separate"/>
      </w:r>
      <w:r>
        <w:rPr>
          <w:rFonts w:hint="eastAsia"/>
          <w:highlight w:val="none"/>
          <w:lang w:val="en-US" w:eastAsia="zh-CN"/>
        </w:rPr>
        <w:t>13</w:t>
      </w:r>
      <w:r>
        <w:rPr>
          <w:rFonts w:hint="eastAsia"/>
          <w:highlight w:val="none"/>
        </w:rPr>
        <w:t xml:space="preserve"> 认证要求变更的条件和程序</w:t>
      </w:r>
      <w:r>
        <w:rPr>
          <w:highlight w:val="none"/>
        </w:rPr>
        <w:tab/>
      </w:r>
      <w:r>
        <w:rPr>
          <w:highlight w:val="none"/>
        </w:rPr>
        <w:fldChar w:fldCharType="begin"/>
      </w:r>
      <w:r>
        <w:rPr>
          <w:highlight w:val="none"/>
        </w:rPr>
        <w:instrText xml:space="preserve"> PAGEREF _Toc23008 \h </w:instrText>
      </w:r>
      <w:r>
        <w:rPr>
          <w:highlight w:val="none"/>
        </w:rPr>
        <w:fldChar w:fldCharType="separate"/>
      </w:r>
      <w:r>
        <w:rPr>
          <w:highlight w:val="none"/>
        </w:rPr>
        <w:t>20</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_Toc11255 </w:instrText>
      </w:r>
      <w:r>
        <w:rPr>
          <w:bCs w:val="0"/>
          <w:szCs w:val="22"/>
          <w:highlight w:val="none"/>
        </w:rPr>
        <w:fldChar w:fldCharType="separate"/>
      </w:r>
      <w:r>
        <w:rPr>
          <w:rFonts w:hint="eastAsia"/>
          <w:highlight w:val="none"/>
        </w:rPr>
        <w:t>1</w:t>
      </w:r>
      <w:r>
        <w:rPr>
          <w:rFonts w:hint="eastAsia"/>
          <w:highlight w:val="none"/>
          <w:lang w:val="en-US" w:eastAsia="zh-CN"/>
        </w:rPr>
        <w:t>4</w:t>
      </w:r>
      <w:r>
        <w:rPr>
          <w:rFonts w:hint="eastAsia"/>
          <w:highlight w:val="none"/>
        </w:rPr>
        <w:t xml:space="preserve"> 保密</w:t>
      </w:r>
      <w:r>
        <w:rPr>
          <w:highlight w:val="none"/>
        </w:rPr>
        <w:tab/>
      </w:r>
      <w:r>
        <w:rPr>
          <w:highlight w:val="none"/>
        </w:rPr>
        <w:fldChar w:fldCharType="begin"/>
      </w:r>
      <w:r>
        <w:rPr>
          <w:highlight w:val="none"/>
        </w:rPr>
        <w:instrText xml:space="preserve"> PAGEREF _Toc11255 \h </w:instrText>
      </w:r>
      <w:r>
        <w:rPr>
          <w:highlight w:val="none"/>
        </w:rPr>
        <w:fldChar w:fldCharType="separate"/>
      </w:r>
      <w:r>
        <w:rPr>
          <w:highlight w:val="none"/>
        </w:rPr>
        <w:t>20</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_Toc27966 </w:instrText>
      </w:r>
      <w:r>
        <w:rPr>
          <w:bCs w:val="0"/>
          <w:szCs w:val="22"/>
          <w:highlight w:val="none"/>
        </w:rPr>
        <w:fldChar w:fldCharType="separate"/>
      </w:r>
      <w:r>
        <w:rPr>
          <w:rFonts w:hint="eastAsia"/>
          <w:highlight w:val="none"/>
        </w:rPr>
        <w:t>1</w:t>
      </w:r>
      <w:r>
        <w:rPr>
          <w:rFonts w:hint="eastAsia"/>
          <w:highlight w:val="none"/>
          <w:lang w:val="en-US" w:eastAsia="zh-CN"/>
        </w:rPr>
        <w:t>5</w:t>
      </w:r>
      <w:r>
        <w:rPr>
          <w:rFonts w:hint="eastAsia"/>
          <w:highlight w:val="none"/>
        </w:rPr>
        <w:t xml:space="preserve"> 申诉/投诉、争议及处理</w:t>
      </w:r>
      <w:r>
        <w:rPr>
          <w:highlight w:val="none"/>
        </w:rPr>
        <w:tab/>
      </w:r>
      <w:r>
        <w:rPr>
          <w:highlight w:val="none"/>
        </w:rPr>
        <w:fldChar w:fldCharType="begin"/>
      </w:r>
      <w:r>
        <w:rPr>
          <w:highlight w:val="none"/>
        </w:rPr>
        <w:instrText xml:space="preserve"> PAGEREF _Toc27966 \h </w:instrText>
      </w:r>
      <w:r>
        <w:rPr>
          <w:highlight w:val="none"/>
        </w:rPr>
        <w:fldChar w:fldCharType="separate"/>
      </w:r>
      <w:r>
        <w:rPr>
          <w:highlight w:val="none"/>
        </w:rPr>
        <w:t>20</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_Toc29044 </w:instrText>
      </w:r>
      <w:r>
        <w:rPr>
          <w:bCs w:val="0"/>
          <w:szCs w:val="22"/>
          <w:highlight w:val="none"/>
        </w:rPr>
        <w:fldChar w:fldCharType="separate"/>
      </w:r>
      <w:r>
        <w:rPr>
          <w:rFonts w:hint="eastAsia"/>
          <w:highlight w:val="none"/>
        </w:rPr>
        <w:t>1</w:t>
      </w:r>
      <w:r>
        <w:rPr>
          <w:rFonts w:hint="eastAsia"/>
          <w:highlight w:val="none"/>
          <w:lang w:val="en-US" w:eastAsia="zh-CN"/>
        </w:rPr>
        <w:t>6</w:t>
      </w:r>
      <w:r>
        <w:rPr>
          <w:rFonts w:hint="eastAsia"/>
          <w:highlight w:val="none"/>
        </w:rPr>
        <w:t xml:space="preserve"> 费用</w:t>
      </w:r>
      <w:r>
        <w:rPr>
          <w:highlight w:val="none"/>
        </w:rPr>
        <w:tab/>
      </w:r>
      <w:r>
        <w:rPr>
          <w:highlight w:val="none"/>
        </w:rPr>
        <w:fldChar w:fldCharType="begin"/>
      </w:r>
      <w:r>
        <w:rPr>
          <w:highlight w:val="none"/>
        </w:rPr>
        <w:instrText xml:space="preserve"> PAGEREF _Toc29044 \h </w:instrText>
      </w:r>
      <w:r>
        <w:rPr>
          <w:highlight w:val="none"/>
        </w:rPr>
        <w:fldChar w:fldCharType="separate"/>
      </w:r>
      <w:r>
        <w:rPr>
          <w:highlight w:val="none"/>
        </w:rPr>
        <w:t>21</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_Toc160 </w:instrText>
      </w:r>
      <w:r>
        <w:rPr>
          <w:bCs w:val="0"/>
          <w:szCs w:val="22"/>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_Toc160 \h </w:instrText>
      </w:r>
      <w:r>
        <w:rPr>
          <w:highlight w:val="none"/>
        </w:rPr>
        <w:fldChar w:fldCharType="separate"/>
      </w:r>
      <w:r>
        <w:rPr>
          <w:highlight w:val="none"/>
        </w:rPr>
        <w:t>21</w:t>
      </w:r>
      <w:r>
        <w:rPr>
          <w:highlight w:val="none"/>
        </w:rPr>
        <w:fldChar w:fldCharType="end"/>
      </w:r>
      <w:r>
        <w:rPr>
          <w:bCs w:val="0"/>
          <w:szCs w:val="22"/>
          <w:highlight w:val="none"/>
        </w:rPr>
        <w:fldChar w:fldCharType="end"/>
      </w:r>
    </w:p>
    <w:p>
      <w:pPr>
        <w:pStyle w:val="14"/>
        <w:tabs>
          <w:tab w:val="right" w:leader="dot" w:pos="8312"/>
        </w:tabs>
        <w:rPr>
          <w:highlight w:val="none"/>
        </w:rPr>
      </w:pPr>
      <w:r>
        <w:rPr>
          <w:bCs w:val="0"/>
          <w:szCs w:val="22"/>
          <w:highlight w:val="none"/>
        </w:rPr>
        <w:fldChar w:fldCharType="begin"/>
      </w:r>
      <w:r>
        <w:rPr>
          <w:bCs w:val="0"/>
          <w:szCs w:val="22"/>
          <w:highlight w:val="none"/>
        </w:rPr>
        <w:instrText xml:space="preserve"> HYPERLINK \l _Toc25577 </w:instrText>
      </w:r>
      <w:r>
        <w:rPr>
          <w:bCs w:val="0"/>
          <w:szCs w:val="22"/>
          <w:highlight w:val="none"/>
        </w:rPr>
        <w:fldChar w:fldCharType="separate"/>
      </w:r>
      <w:r>
        <w:rPr>
          <w:rFonts w:hint="eastAsia" w:ascii="黑体" w:hAnsi="黑体" w:eastAsia="黑体"/>
          <w:highlight w:val="none"/>
        </w:rPr>
        <w:t>1</w:t>
      </w:r>
      <w:r>
        <w:rPr>
          <w:rFonts w:hint="eastAsia" w:ascii="黑体" w:hAnsi="黑体"/>
          <w:highlight w:val="none"/>
          <w:lang w:val="en-US" w:eastAsia="zh-CN"/>
        </w:rPr>
        <w:t>8</w:t>
      </w:r>
      <w:r>
        <w:rPr>
          <w:rFonts w:hint="eastAsia" w:ascii="黑体" w:hAnsi="黑体" w:eastAsia="黑体"/>
          <w:highlight w:val="none"/>
        </w:rPr>
        <w:t xml:space="preserve"> 附则</w:t>
      </w:r>
      <w:r>
        <w:rPr>
          <w:highlight w:val="none"/>
        </w:rPr>
        <w:tab/>
      </w:r>
      <w:r>
        <w:rPr>
          <w:highlight w:val="none"/>
        </w:rPr>
        <w:fldChar w:fldCharType="begin"/>
      </w:r>
      <w:r>
        <w:rPr>
          <w:highlight w:val="none"/>
        </w:rPr>
        <w:instrText xml:space="preserve"> PAGEREF _Toc25577 \h </w:instrText>
      </w:r>
      <w:r>
        <w:rPr>
          <w:highlight w:val="none"/>
        </w:rPr>
        <w:fldChar w:fldCharType="separate"/>
      </w:r>
      <w:r>
        <w:rPr>
          <w:highlight w:val="none"/>
        </w:rPr>
        <w:t>21</w:t>
      </w:r>
      <w:r>
        <w:rPr>
          <w:highlight w:val="none"/>
        </w:rPr>
        <w:fldChar w:fldCharType="end"/>
      </w:r>
      <w:r>
        <w:rPr>
          <w:bCs w:val="0"/>
          <w:szCs w:val="22"/>
          <w:highlight w:val="none"/>
        </w:rPr>
        <w:fldChar w:fldCharType="end"/>
      </w:r>
    </w:p>
    <w:p>
      <w:pPr>
        <w:spacing w:line="360" w:lineRule="auto"/>
        <w:rPr>
          <w:sz w:val="22"/>
          <w:szCs w:val="22"/>
          <w:highlight w:val="none"/>
        </w:rPr>
      </w:pPr>
      <w:r>
        <w:rPr>
          <w:bCs w:val="0"/>
          <w:szCs w:val="22"/>
          <w:highlight w:val="none"/>
        </w:rPr>
        <w:fldChar w:fldCharType="end"/>
      </w:r>
    </w:p>
    <w:p>
      <w:pPr>
        <w:spacing w:line="360" w:lineRule="auto"/>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pStyle w:val="18"/>
        <w:spacing w:before="0" w:after="0"/>
        <w:outlineLvl w:val="9"/>
        <w:rPr>
          <w:rFonts w:ascii="黑体" w:hAnsi="黑体" w:eastAsia="黑体"/>
          <w:b w:val="0"/>
          <w:sz w:val="48"/>
          <w:szCs w:val="48"/>
          <w:highlight w:val="none"/>
        </w:rPr>
      </w:pPr>
      <w:bookmarkStart w:id="7" w:name="_Toc37"/>
      <w:bookmarkStart w:id="8" w:name="_Toc18059"/>
      <w:bookmarkStart w:id="9" w:name="_Toc13945"/>
      <w:bookmarkStart w:id="10" w:name="_Toc440007487"/>
      <w:bookmarkStart w:id="11" w:name="_Toc444776326"/>
      <w:bookmarkStart w:id="12" w:name="_Toc28380"/>
      <w:r>
        <w:rPr>
          <w:rFonts w:hint="eastAsia" w:ascii="黑体" w:hAnsi="黑体" w:eastAsia="黑体"/>
          <w:b w:val="0"/>
          <w:sz w:val="36"/>
          <w:szCs w:val="36"/>
          <w:highlight w:val="none"/>
          <w:lang w:val="en-US" w:eastAsia="zh-CN"/>
        </w:rPr>
        <w:t>反贿赂</w:t>
      </w:r>
      <w:r>
        <w:rPr>
          <w:rFonts w:hint="eastAsia" w:ascii="黑体" w:hAnsi="黑体" w:eastAsia="黑体"/>
          <w:b w:val="0"/>
          <w:sz w:val="36"/>
          <w:szCs w:val="36"/>
          <w:highlight w:val="none"/>
        </w:rPr>
        <w:t>管理体系认证实施方案</w:t>
      </w:r>
      <w:bookmarkEnd w:id="7"/>
      <w:bookmarkEnd w:id="8"/>
      <w:bookmarkEnd w:id="9"/>
      <w:bookmarkEnd w:id="10"/>
      <w:bookmarkEnd w:id="11"/>
      <w:bookmarkEnd w:id="12"/>
    </w:p>
    <w:p>
      <w:pPr>
        <w:spacing w:line="360" w:lineRule="auto"/>
        <w:ind w:firstLine="720" w:firstLineChars="200"/>
        <w:jc w:val="center"/>
        <w:rPr>
          <w:rFonts w:ascii="黑体" w:eastAsia="黑体"/>
          <w:sz w:val="36"/>
          <w:szCs w:val="36"/>
          <w:highlight w:val="none"/>
        </w:rPr>
      </w:pPr>
    </w:p>
    <w:p>
      <w:pPr>
        <w:pStyle w:val="2"/>
        <w:bidi w:val="0"/>
        <w:rPr>
          <w:highlight w:val="none"/>
        </w:rPr>
      </w:pPr>
      <w:bookmarkStart w:id="13" w:name="_Toc9826"/>
      <w:bookmarkStart w:id="14" w:name="_Toc85105511"/>
      <w:bookmarkStart w:id="15" w:name="_Toc85256247"/>
      <w:bookmarkStart w:id="16" w:name="_Toc22475"/>
      <w:bookmarkStart w:id="17" w:name="_Toc32420"/>
      <w:bookmarkStart w:id="18" w:name="_Toc185325622"/>
      <w:bookmarkStart w:id="19" w:name="_Toc85103622"/>
      <w:bookmarkStart w:id="20" w:name="_Toc1168"/>
      <w:bookmarkStart w:id="21" w:name="_Toc20308"/>
      <w:r>
        <w:rPr>
          <w:highlight w:val="none"/>
        </w:rPr>
        <w:t>1</w:t>
      </w:r>
      <w:r>
        <w:rPr>
          <w:rFonts w:hint="eastAsia"/>
          <w:highlight w:val="none"/>
        </w:rPr>
        <w:t xml:space="preserve"> 适用范围</w:t>
      </w:r>
      <w:bookmarkEnd w:id="13"/>
      <w:bookmarkEnd w:id="14"/>
      <w:bookmarkEnd w:id="15"/>
      <w:bookmarkEnd w:id="16"/>
      <w:bookmarkEnd w:id="17"/>
      <w:bookmarkEnd w:id="18"/>
      <w:bookmarkEnd w:id="19"/>
      <w:bookmarkEnd w:id="20"/>
      <w:bookmarkEnd w:id="21"/>
    </w:p>
    <w:p>
      <w:pPr>
        <w:spacing w:line="360" w:lineRule="auto"/>
        <w:ind w:firstLine="480" w:firstLineChars="200"/>
        <w:rPr>
          <w:rFonts w:hint="eastAsia" w:ascii="宋体" w:hAnsi="宋体"/>
          <w:sz w:val="24"/>
          <w:highlight w:val="none"/>
        </w:rPr>
      </w:pPr>
      <w:bookmarkStart w:id="22" w:name="_Toc33598902"/>
      <w:bookmarkStart w:id="23" w:name="_Toc33598962"/>
      <w:bookmarkStart w:id="24" w:name="_Toc33600411"/>
      <w:bookmarkStart w:id="25" w:name="_Toc85103623"/>
      <w:bookmarkStart w:id="26" w:name="_Toc85256248"/>
      <w:bookmarkStart w:id="27" w:name="_Toc33599704"/>
      <w:bookmarkStart w:id="28" w:name="_Toc33598531"/>
      <w:bookmarkStart w:id="29" w:name="_Toc33600362"/>
      <w:bookmarkStart w:id="30" w:name="_Toc85105512"/>
      <w:bookmarkStart w:id="31" w:name="_Toc33599577"/>
      <w:r>
        <w:rPr>
          <w:rFonts w:hint="eastAsia" w:ascii="宋体" w:hAnsi="宋体"/>
          <w:sz w:val="24"/>
          <w:highlight w:val="none"/>
        </w:rPr>
        <w:t>本认证方案适用于方圆标志认证集团有限公司（以下简称：CQM）实施反贿赂管理体系认证，满足第三方认证制度要求，作为提供认证服务的规范。必要时，在认证合同中补充相关的技术要求。</w:t>
      </w:r>
    </w:p>
    <w:p>
      <w:pPr>
        <w:spacing w:line="360" w:lineRule="auto"/>
        <w:ind w:firstLine="480" w:firstLineChars="200"/>
        <w:rPr>
          <w:rFonts w:hint="eastAsia"/>
          <w:sz w:val="24"/>
          <w:highlight w:val="none"/>
        </w:rPr>
      </w:pPr>
      <w:r>
        <w:rPr>
          <w:rFonts w:hint="eastAsia"/>
          <w:sz w:val="24"/>
          <w:highlight w:val="none"/>
        </w:rPr>
        <w:t>本认证方案在认证双方签订合同时予以确认和采用。</w:t>
      </w:r>
    </w:p>
    <w:p>
      <w:pPr>
        <w:pStyle w:val="2"/>
        <w:bidi w:val="0"/>
        <w:rPr>
          <w:highlight w:val="none"/>
        </w:rPr>
      </w:pPr>
      <w:bookmarkStart w:id="32" w:name="_Toc17149"/>
      <w:bookmarkStart w:id="33" w:name="_Toc30174"/>
      <w:bookmarkStart w:id="34" w:name="_Toc23821"/>
      <w:bookmarkStart w:id="35" w:name="_Toc13983"/>
      <w:bookmarkStart w:id="36" w:name="_Toc185325623"/>
      <w:bookmarkStart w:id="37" w:name="_Toc9950"/>
      <w:r>
        <w:rPr>
          <w:rFonts w:hint="eastAsia"/>
          <w:highlight w:val="none"/>
        </w:rPr>
        <w:t xml:space="preserve">2 </w:t>
      </w:r>
      <w:r>
        <w:rPr>
          <w:rFonts w:hint="eastAsia"/>
          <w:highlight w:val="none"/>
          <w:lang w:val="en-US" w:eastAsia="zh-CN"/>
        </w:rPr>
        <w:t>认证依据</w:t>
      </w:r>
      <w:r>
        <w:rPr>
          <w:rFonts w:hint="eastAsia"/>
          <w:highlight w:val="none"/>
          <w:lang w:val="en-US" w:eastAsia="zh-CN"/>
        </w:rPr>
        <w:t>和</w:t>
      </w:r>
      <w:r>
        <w:rPr>
          <w:rFonts w:hint="eastAsia"/>
          <w:highlight w:val="none"/>
        </w:rPr>
        <w:t>认证模式</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spacing w:line="360" w:lineRule="auto"/>
        <w:ind w:firstLine="360" w:firstLineChars="150"/>
        <w:rPr>
          <w:rFonts w:hint="eastAsia" w:ascii="宋体" w:hAnsi="宋体"/>
          <w:sz w:val="24"/>
          <w:highlight w:val="none"/>
        </w:rPr>
      </w:pPr>
      <w:r>
        <w:rPr>
          <w:rFonts w:hint="eastAsia" w:ascii="宋体" w:hAnsi="宋体"/>
          <w:sz w:val="24"/>
          <w:highlight w:val="none"/>
          <w:lang w:val="en-US" w:eastAsia="zh-CN"/>
        </w:rPr>
        <w:t>认证依据：</w:t>
      </w:r>
      <w:r>
        <w:rPr>
          <w:rFonts w:hint="eastAsia" w:ascii="宋体" w:hAnsi="宋体"/>
          <w:sz w:val="24"/>
          <w:highlight w:val="none"/>
        </w:rPr>
        <w:t>ISO37001-20</w:t>
      </w:r>
      <w:r>
        <w:rPr>
          <w:rFonts w:hint="eastAsia" w:ascii="宋体" w:hAnsi="宋体"/>
          <w:sz w:val="24"/>
          <w:highlight w:val="none"/>
          <w:lang w:val="en-US" w:eastAsia="zh-CN"/>
        </w:rPr>
        <w:t>25</w:t>
      </w:r>
      <w:r>
        <w:rPr>
          <w:rFonts w:hint="eastAsia" w:ascii="宋体" w:hAnsi="宋体"/>
          <w:sz w:val="24"/>
          <w:highlight w:val="none"/>
        </w:rPr>
        <w:t>《反贿赂管理体系 要求及使用指南》</w:t>
      </w:r>
      <w:r>
        <w:rPr>
          <w:rFonts w:hint="eastAsia" w:ascii="宋体" w:hAnsi="宋体"/>
          <w:sz w:val="24"/>
          <w:highlight w:val="none"/>
          <w:lang w:eastAsia="zh-CN"/>
        </w:rPr>
        <w:t>；</w:t>
      </w:r>
      <w:r>
        <w:rPr>
          <w:rFonts w:hint="eastAsia" w:ascii="宋体" w:hAnsi="宋体"/>
          <w:sz w:val="24"/>
          <w:highlight w:val="none"/>
          <w:lang w:val="en-US" w:eastAsia="zh-CN"/>
        </w:rPr>
        <w:t>或</w:t>
      </w:r>
      <w:r>
        <w:rPr>
          <w:rFonts w:hint="eastAsia" w:ascii="宋体" w:hAnsi="宋体"/>
          <w:sz w:val="24"/>
          <w:highlight w:val="none"/>
        </w:rPr>
        <w:t>ISO37001-2016《反贿赂管理体系 要求及使用指南》</w:t>
      </w:r>
      <w:r>
        <w:rPr>
          <w:rFonts w:hint="eastAsia" w:ascii="宋体" w:hAnsi="宋体"/>
          <w:sz w:val="24"/>
          <w:highlight w:val="none"/>
          <w:lang w:eastAsia="zh-CN"/>
        </w:rPr>
        <w:t>（</w:t>
      </w:r>
      <w:r>
        <w:rPr>
          <w:rFonts w:hint="eastAsia" w:ascii="宋体" w:hAnsi="宋体"/>
          <w:sz w:val="24"/>
          <w:highlight w:val="none"/>
          <w:lang w:val="en-US" w:eastAsia="zh-CN"/>
        </w:rPr>
        <w:t>2028年2月27日失效</w:t>
      </w:r>
      <w:r>
        <w:rPr>
          <w:rFonts w:hint="eastAsia" w:ascii="宋体" w:hAnsi="宋体"/>
          <w:sz w:val="24"/>
          <w:highlight w:val="none"/>
          <w:lang w:eastAsia="zh-CN"/>
        </w:rPr>
        <w:t>）</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pStyle w:val="2"/>
        <w:bidi w:val="0"/>
        <w:rPr>
          <w:highlight w:val="none"/>
        </w:rPr>
      </w:pPr>
      <w:bookmarkStart w:id="38" w:name="_Toc85105513"/>
      <w:bookmarkStart w:id="39" w:name="_Toc12624"/>
      <w:bookmarkStart w:id="40" w:name="_Toc85103624"/>
      <w:bookmarkStart w:id="41" w:name="_Toc4248"/>
      <w:bookmarkStart w:id="42" w:name="_Toc85256249"/>
      <w:bookmarkStart w:id="43" w:name="_Toc22105"/>
      <w:bookmarkStart w:id="44" w:name="_Toc185325624"/>
      <w:bookmarkStart w:id="45" w:name="_Toc13054"/>
      <w:bookmarkStart w:id="46" w:name="_Toc22047"/>
      <w:r>
        <w:rPr>
          <w:highlight w:val="none"/>
        </w:rPr>
        <w:drawing>
          <wp:anchor distT="0" distB="0" distL="114300" distR="114300" simplePos="0" relativeHeight="251661312" behindDoc="0" locked="0" layoutInCell="1" allowOverlap="1">
            <wp:simplePos x="0" y="0"/>
            <wp:positionH relativeFrom="column">
              <wp:posOffset>1308735</wp:posOffset>
            </wp:positionH>
            <wp:positionV relativeFrom="paragraph">
              <wp:posOffset>474345</wp:posOffset>
            </wp:positionV>
            <wp:extent cx="3105150" cy="3921125"/>
            <wp:effectExtent l="0" t="0" r="0" b="3175"/>
            <wp:wrapNone/>
            <wp:docPr id="3" name="对象 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对象 26"/>
                    <pic:cNvPicPr>
                      <a:picLocks noChangeAspect="true"/>
                    </pic:cNvPicPr>
                  </pic:nvPicPr>
                  <pic:blipFill>
                    <a:blip r:embed="rId11"/>
                    <a:stretch>
                      <a:fillRect/>
                    </a:stretch>
                  </pic:blipFill>
                  <pic:spPr>
                    <a:xfrm>
                      <a:off x="0" y="0"/>
                      <a:ext cx="3105150" cy="3921125"/>
                    </a:xfrm>
                    <a:prstGeom prst="rect">
                      <a:avLst/>
                    </a:prstGeom>
                    <a:noFill/>
                    <a:ln>
                      <a:noFill/>
                    </a:ln>
                  </pic:spPr>
                </pic:pic>
              </a:graphicData>
            </a:graphic>
          </wp:anchor>
        </w:drawing>
      </w:r>
      <w:r>
        <w:rPr>
          <w:rFonts w:hint="eastAsia"/>
          <w:highlight w:val="none"/>
        </w:rPr>
        <w:t>3 认证过程流程图</w:t>
      </w:r>
      <w:bookmarkEnd w:id="38"/>
      <w:bookmarkEnd w:id="39"/>
      <w:bookmarkEnd w:id="40"/>
      <w:bookmarkEnd w:id="41"/>
      <w:bookmarkEnd w:id="42"/>
      <w:bookmarkEnd w:id="43"/>
      <w:bookmarkEnd w:id="44"/>
      <w:bookmarkEnd w:id="45"/>
      <w:bookmarkEnd w:id="46"/>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pStyle w:val="2"/>
        <w:bidi w:val="0"/>
        <w:rPr>
          <w:rFonts w:hint="eastAsia"/>
          <w:highlight w:val="none"/>
          <w:lang w:val="en-US" w:eastAsia="zh-CN"/>
        </w:rPr>
      </w:pPr>
      <w:bookmarkStart w:id="47" w:name="_Toc17247"/>
      <w:bookmarkStart w:id="48" w:name="_Toc528053014"/>
      <w:bookmarkStart w:id="49" w:name="_Toc7976"/>
      <w:bookmarkStart w:id="50" w:name="_Toc33600363"/>
      <w:bookmarkStart w:id="51" w:name="_Toc33598532"/>
      <w:bookmarkStart w:id="52" w:name="_Toc33599705"/>
      <w:bookmarkStart w:id="53" w:name="_Toc33599578"/>
      <w:bookmarkStart w:id="54" w:name="_Toc33600412"/>
      <w:bookmarkStart w:id="55" w:name="_Toc15986"/>
      <w:bookmarkStart w:id="56" w:name="_Toc33598903"/>
      <w:bookmarkStart w:id="57" w:name="_Toc20245"/>
      <w:bookmarkStart w:id="58" w:name="_Toc85105514"/>
      <w:bookmarkStart w:id="59" w:name="_Toc85256250"/>
      <w:bookmarkStart w:id="60" w:name="_Toc33598963"/>
      <w:bookmarkStart w:id="61" w:name="_Toc13377"/>
      <w:bookmarkStart w:id="62" w:name="_Toc185325625"/>
      <w:bookmarkStart w:id="63" w:name="_Toc85103625"/>
      <w:r>
        <w:rPr>
          <w:rFonts w:hint="eastAsia"/>
          <w:highlight w:val="none"/>
        </w:rPr>
        <w:t>4 认证申请</w:t>
      </w:r>
      <w:bookmarkEnd w:id="47"/>
      <w:bookmarkEnd w:id="48"/>
      <w:r>
        <w:rPr>
          <w:rFonts w:hint="eastAsia"/>
          <w:highlight w:val="none"/>
          <w:lang w:val="en-US" w:eastAsia="zh-CN"/>
        </w:rPr>
        <w:t>及评审</w:t>
      </w:r>
      <w:bookmarkEnd w:id="49"/>
    </w:p>
    <w:p>
      <w:pPr>
        <w:spacing w:line="360" w:lineRule="auto"/>
        <w:rPr>
          <w:rFonts w:hint="default" w:ascii="Arial" w:hAnsi="Arial" w:cs="Arial"/>
          <w:color w:val="000000"/>
          <w:sz w:val="24"/>
          <w:highlight w:val="none"/>
          <w:lang w:val="en-US" w:eastAsia="zh-CN"/>
        </w:rPr>
      </w:pPr>
      <w:r>
        <w:rPr>
          <w:rFonts w:hint="eastAsia" w:ascii="Arial" w:hAnsi="Arial" w:cs="Arial"/>
          <w:color w:val="000000"/>
          <w:sz w:val="24"/>
          <w:highlight w:val="none"/>
          <w:lang w:val="en-US" w:eastAsia="zh-CN"/>
        </w:rPr>
        <w:t>4.1</w:t>
      </w:r>
      <w:r>
        <w:rPr>
          <w:rFonts w:hint="eastAsia" w:ascii="Arial" w:hAnsi="Arial" w:eastAsia="宋体" w:cs="Arial"/>
          <w:color w:val="000000"/>
          <w:sz w:val="24"/>
          <w:highlight w:val="none"/>
          <w:lang w:val="en-US" w:eastAsia="zh-CN"/>
        </w:rPr>
        <w:t xml:space="preserve"> 申请条件</w:t>
      </w:r>
    </w:p>
    <w:p>
      <w:pPr>
        <w:numPr>
          <w:ilvl w:val="0"/>
          <w:numId w:val="1"/>
        </w:numPr>
        <w:spacing w:line="360" w:lineRule="auto"/>
        <w:rPr>
          <w:rFonts w:ascii="宋体" w:hAnsi="宋体" w:cs="宋体"/>
          <w:color w:val="000000"/>
          <w:sz w:val="24"/>
          <w:highlight w:val="none"/>
        </w:rPr>
      </w:pPr>
      <w:r>
        <w:rPr>
          <w:rFonts w:hint="eastAsia" w:ascii="宋体" w:hAnsi="宋体" w:cs="宋体"/>
          <w:sz w:val="24"/>
          <w:highlight w:val="none"/>
        </w:rPr>
        <w:t>认证客户具有明确的法律地位,客户具有企业营业执照、事业单位法人证书、社会团体登记证书、非企业法人登记证书等，可独立申</w:t>
      </w:r>
      <w:r>
        <w:rPr>
          <w:rFonts w:hint="eastAsia" w:ascii="宋体" w:hAnsi="宋体" w:cs="宋体"/>
          <w:color w:val="000000"/>
          <w:sz w:val="24"/>
          <w:highlight w:val="none"/>
        </w:rPr>
        <w:t xml:space="preserve">请认证。其他类型的客户，应由具备资格的单位代为申请； </w:t>
      </w:r>
    </w:p>
    <w:p>
      <w:pPr>
        <w:numPr>
          <w:ilvl w:val="0"/>
          <w:numId w:val="1"/>
        </w:numPr>
        <w:spacing w:line="360" w:lineRule="auto"/>
        <w:rPr>
          <w:rFonts w:ascii="宋体" w:hAnsi="宋体"/>
          <w:color w:val="000000"/>
          <w:sz w:val="24"/>
          <w:highlight w:val="none"/>
        </w:rPr>
      </w:pPr>
      <w:r>
        <w:rPr>
          <w:rFonts w:hint="eastAsia" w:ascii="宋体" w:hAnsi="宋体" w:cs="宋体"/>
          <w:color w:val="000000"/>
          <w:sz w:val="24"/>
          <w:highlight w:val="none"/>
        </w:rPr>
        <w:t>国家、地方或行业有要求时，认证客户具有规定的行政许可文件</w:t>
      </w:r>
      <w:r>
        <w:rPr>
          <w:rFonts w:ascii="宋体" w:hAnsi="宋体" w:cs="宋体"/>
          <w:color w:val="000000"/>
          <w:sz w:val="24"/>
          <w:highlight w:val="none"/>
        </w:rPr>
        <w:t>,</w:t>
      </w:r>
      <w:r>
        <w:rPr>
          <w:rFonts w:hint="eastAsia" w:ascii="宋体" w:hAnsi="宋体" w:cs="宋体"/>
          <w:color w:val="000000"/>
          <w:sz w:val="24"/>
          <w:highlight w:val="none"/>
        </w:rPr>
        <w:t>其申请认证范围应在法律地位文件和行政许可文件核准的的范围内；</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认证客户按反贿赂管理体系标准建立了文件化的管理体系，初次认证现场审核前已至少持续稳定运行了</w:t>
      </w:r>
      <w:r>
        <w:rPr>
          <w:rFonts w:ascii="宋体" w:hAnsi="宋体" w:cs="宋体"/>
          <w:color w:val="000000"/>
          <w:sz w:val="24"/>
          <w:highlight w:val="none"/>
        </w:rPr>
        <w:t>3</w:t>
      </w:r>
      <w:r>
        <w:rPr>
          <w:rFonts w:hint="eastAsia" w:ascii="宋体" w:hAnsi="宋体" w:cs="宋体"/>
          <w:color w:val="000000"/>
          <w:sz w:val="24"/>
          <w:highlight w:val="none"/>
        </w:rPr>
        <w:t>个月，至少已实施一次完整的内审和管理评审；</w:t>
      </w:r>
    </w:p>
    <w:p>
      <w:pPr>
        <w:numPr>
          <w:ilvl w:val="0"/>
          <w:numId w:val="1"/>
        </w:numPr>
        <w:spacing w:line="360" w:lineRule="auto"/>
        <w:rPr>
          <w:rFonts w:ascii="宋体" w:hAnsi="宋体" w:cs="宋体"/>
          <w:sz w:val="24"/>
          <w:highlight w:val="none"/>
        </w:rPr>
      </w:pPr>
      <w:r>
        <w:rPr>
          <w:rFonts w:hint="eastAsia" w:ascii="宋体" w:hAnsi="宋体" w:cs="宋体"/>
          <w:sz w:val="24"/>
          <w:highlight w:val="none"/>
        </w:rPr>
        <w:t>认证客户承诺遵守国家的法律、法规及其他要求</w:t>
      </w:r>
      <w:r>
        <w:rPr>
          <w:rFonts w:ascii="宋体" w:hAnsi="宋体" w:cs="宋体"/>
          <w:sz w:val="24"/>
          <w:highlight w:val="none"/>
        </w:rPr>
        <w:t>,</w:t>
      </w:r>
      <w:r>
        <w:rPr>
          <w:rFonts w:hint="eastAsia" w:ascii="宋体" w:hAnsi="宋体" w:cs="宋体"/>
          <w:sz w:val="24"/>
          <w:highlight w:val="none"/>
        </w:rPr>
        <w:t>承诺始终遵守认证的有关规定，承担与认证有关的法律责任，并有义务协助认证监管部门的监督检查，对有关事项的询问和调查如实提供相关材料和信息；</w:t>
      </w:r>
    </w:p>
    <w:p>
      <w:pPr>
        <w:numPr>
          <w:ilvl w:val="0"/>
          <w:numId w:val="1"/>
        </w:numPr>
        <w:spacing w:line="360" w:lineRule="auto"/>
        <w:rPr>
          <w:rFonts w:hint="eastAsia" w:ascii="宋体" w:hAnsi="宋体" w:cs="方正仿宋简体"/>
          <w:sz w:val="24"/>
          <w:highlight w:val="none"/>
        </w:rPr>
      </w:pPr>
      <w:r>
        <w:rPr>
          <w:rFonts w:hint="eastAsia" w:ascii="宋体" w:hAnsi="宋体" w:cs="宋体"/>
          <w:sz w:val="24"/>
          <w:highlight w:val="none"/>
        </w:rPr>
        <w:t>认证客户在一年内，未发生由反贿赂管理活动引发的</w:t>
      </w:r>
      <w:r>
        <w:rPr>
          <w:rFonts w:hint="eastAsia" w:ascii="宋体" w:hAnsi="宋体" w:cs="方正仿宋简体"/>
          <w:sz w:val="24"/>
          <w:highlight w:val="none"/>
        </w:rPr>
        <w:t>事故或</w:t>
      </w:r>
      <w:r>
        <w:rPr>
          <w:rFonts w:hint="eastAsia" w:ascii="宋体" w:hAnsi="宋体" w:cs="宋体"/>
          <w:sz w:val="24"/>
          <w:highlight w:val="none"/>
        </w:rPr>
        <w:t>被执法监管部门责令停业整顿或在全国企业信用信息公示系统中被列入“严重违法企业名单”</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ascii="宋体" w:hAnsi="宋体" w:cs="方正仿宋简体"/>
          <w:sz w:val="24"/>
          <w:highlight w:val="none"/>
        </w:rPr>
        <w:t>或违反国家相关法规，虚报、瞒报获证所需信息的情况</w:t>
      </w:r>
      <w:r>
        <w:rPr>
          <w:rFonts w:hint="eastAsia" w:ascii="宋体" w:hAnsi="宋体" w:cs="宋体"/>
          <w:sz w:val="24"/>
          <w:highlight w:val="none"/>
        </w:rPr>
        <w:t>；</w:t>
      </w:r>
    </w:p>
    <w:p>
      <w:pPr>
        <w:numPr>
          <w:ilvl w:val="0"/>
          <w:numId w:val="1"/>
        </w:numPr>
        <w:spacing w:line="360" w:lineRule="auto"/>
        <w:rPr>
          <w:rFonts w:hint="eastAsia" w:ascii="宋体" w:hAnsi="宋体" w:cs="宋体"/>
          <w:sz w:val="24"/>
          <w:highlight w:val="none"/>
        </w:rPr>
      </w:pPr>
      <w:r>
        <w:rPr>
          <w:rFonts w:hint="eastAsia" w:ascii="宋体" w:hAnsi="宋体" w:cs="宋体"/>
          <w:sz w:val="24"/>
          <w:highlight w:val="none"/>
        </w:rPr>
        <w:t>认证客户承诺获得CQM认证后，按规定使用认证证书和认证标志和有关信息，不得擅自利用管理体系认证证书的文字、符号误导公众，并按规定接受监督；</w:t>
      </w:r>
    </w:p>
    <w:p>
      <w:pPr>
        <w:numPr>
          <w:ilvl w:val="0"/>
          <w:numId w:val="1"/>
        </w:numPr>
        <w:spacing w:line="360" w:lineRule="auto"/>
        <w:rPr>
          <w:rFonts w:hint="eastAsia" w:ascii="宋体" w:hAnsi="宋体"/>
          <w:sz w:val="24"/>
          <w:highlight w:val="none"/>
        </w:rPr>
      </w:pPr>
      <w:r>
        <w:rPr>
          <w:rFonts w:hint="eastAsia" w:ascii="宋体" w:hAnsi="宋体"/>
          <w:sz w:val="24"/>
          <w:highlight w:val="none"/>
        </w:rPr>
        <w:t>认证客户承诺获得</w:t>
      </w:r>
      <w:r>
        <w:rPr>
          <w:rFonts w:hint="eastAsia" w:ascii="宋体" w:hAnsi="宋体" w:cs="宋体"/>
          <w:sz w:val="24"/>
          <w:highlight w:val="none"/>
        </w:rPr>
        <w:t>CQM</w:t>
      </w:r>
      <w:r>
        <w:rPr>
          <w:rFonts w:hint="eastAsia" w:ascii="宋体" w:hAnsi="宋体"/>
          <w:sz w:val="24"/>
          <w:highlight w:val="none"/>
        </w:rPr>
        <w:t>认证后，按照CQM要求向CQM通报管理体系变更的信息和其他可能影响管理体系持续满足认证标准要求的能力的事宜的信息，一般包括：客户及相关方有重大投诉；发生由反贿赂管理引起的有关重大事故；相关情况发生变更（包括：法律地位、生产经营状况、组织状态或所有权变更、资质证书变更；法定代表人、最高管理者、管理者代表发生变更；生产经营或服务的工作场所变更；管理体系覆盖的活动范围变更；管理体系的重大变更等）；出现影响管理体系运行的其他重要情况；</w:t>
      </w:r>
    </w:p>
    <w:p>
      <w:pPr>
        <w:numPr>
          <w:ilvl w:val="0"/>
          <w:numId w:val="1"/>
        </w:numPr>
        <w:spacing w:line="360" w:lineRule="auto"/>
        <w:rPr>
          <w:rFonts w:hint="eastAsia" w:ascii="宋体" w:hAnsi="宋体"/>
          <w:highlight w:val="none"/>
        </w:rPr>
      </w:pPr>
      <w:r>
        <w:rPr>
          <w:rFonts w:hint="eastAsia" w:ascii="宋体" w:hAnsi="宋体"/>
          <w:color w:val="000000"/>
          <w:sz w:val="24"/>
          <w:highlight w:val="none"/>
        </w:rPr>
        <w:t>认证审核期间，认证客户能够提供与拟认证范围相关的</w:t>
      </w:r>
      <w:r>
        <w:rPr>
          <w:rFonts w:hint="eastAsia" w:ascii="宋体" w:hAnsi="宋体" w:cs="宋体"/>
          <w:color w:val="000000"/>
          <w:sz w:val="24"/>
          <w:highlight w:val="none"/>
        </w:rPr>
        <w:t>反贿赂管理活动现场。</w:t>
      </w:r>
    </w:p>
    <w:p>
      <w:pPr>
        <w:spacing w:line="360" w:lineRule="auto"/>
        <w:rPr>
          <w:rFonts w:hint="eastAsia" w:ascii="Arial" w:hAnsi="Arial" w:cs="Arial"/>
          <w:color w:val="000000"/>
          <w:sz w:val="24"/>
          <w:highlight w:val="none"/>
          <w:lang w:val="en-US" w:eastAsia="zh-CN"/>
        </w:rPr>
      </w:pPr>
      <w:r>
        <w:rPr>
          <w:rFonts w:hint="eastAsia" w:ascii="Arial" w:hAnsi="Arial" w:cs="Arial"/>
          <w:color w:val="000000"/>
          <w:sz w:val="24"/>
          <w:highlight w:val="none"/>
          <w:lang w:val="en-US" w:eastAsia="zh-CN"/>
        </w:rPr>
        <w:t>4.2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spacing w:line="360" w:lineRule="auto"/>
        <w:rPr>
          <w:rFonts w:hint="default"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pStyle w:val="2"/>
        <w:spacing w:line="600" w:lineRule="auto"/>
        <w:rPr>
          <w:rFonts w:hint="default" w:ascii="宋体" w:hAnsi="宋体"/>
          <w:color w:val="C00000"/>
          <w:highlight w:val="none"/>
          <w:lang w:val="en-US" w:eastAsia="zh-CN"/>
        </w:rPr>
      </w:pPr>
      <w:bookmarkStart w:id="64" w:name="_Toc3502"/>
      <w:bookmarkStart w:id="65" w:name="_Toc9070"/>
      <w:bookmarkStart w:id="66" w:name="_Toc31362"/>
      <w:bookmarkStart w:id="67" w:name="_Toc12214"/>
      <w:bookmarkStart w:id="68" w:name="_Toc32057"/>
      <w:r>
        <w:rPr>
          <w:rFonts w:hint="eastAsia" w:ascii="宋体" w:hAnsi="宋体"/>
          <w:color w:val="auto"/>
          <w:highlight w:val="none"/>
          <w:lang w:val="en-US" w:eastAsia="zh-CN"/>
        </w:rPr>
        <w:t xml:space="preserve">5 </w:t>
      </w:r>
      <w:bookmarkEnd w:id="64"/>
      <w:bookmarkEnd w:id="65"/>
      <w:bookmarkEnd w:id="66"/>
      <w:r>
        <w:rPr>
          <w:rFonts w:hint="eastAsia" w:ascii="宋体" w:hAnsi="宋体"/>
          <w:color w:val="auto"/>
          <w:highlight w:val="none"/>
          <w:lang w:val="en-US" w:eastAsia="zh-CN"/>
        </w:rPr>
        <w:t>审核方案策划</w:t>
      </w:r>
      <w:bookmarkEnd w:id="67"/>
      <w:bookmarkEnd w:id="68"/>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spacing w:line="360" w:lineRule="auto"/>
        <w:jc w:val="left"/>
        <w:rPr>
          <w:rFonts w:hint="eastAsia" w:ascii="宋体" w:hAnsi="宋体" w:cs="宋体"/>
          <w:color w:val="auto"/>
          <w:kern w:val="0"/>
          <w:sz w:val="24"/>
          <w:highlight w:val="none"/>
          <w:lang w:eastAsia="zh-CN"/>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numPr>
          <w:ilvl w:val="0"/>
          <w:numId w:val="0"/>
        </w:numPr>
        <w:spacing w:line="360" w:lineRule="auto"/>
        <w:ind w:leftChars="0"/>
        <w:rPr>
          <w:rFonts w:hint="eastAsia" w:ascii="宋体" w:hAnsi="宋体"/>
          <w:highlight w:val="none"/>
        </w:rPr>
      </w:pPr>
    </w:p>
    <w:p>
      <w:pPr>
        <w:pStyle w:val="2"/>
        <w:bidi w:val="0"/>
        <w:rPr>
          <w:rFonts w:hint="eastAsia"/>
          <w:highlight w:val="none"/>
        </w:rPr>
      </w:pPr>
      <w:bookmarkStart w:id="69" w:name="_Toc21578"/>
      <w:bookmarkStart w:id="70" w:name="_Toc528053015"/>
      <w:bookmarkStart w:id="71" w:name="_Toc22851"/>
      <w:r>
        <w:rPr>
          <w:rFonts w:hint="eastAsia"/>
          <w:highlight w:val="none"/>
          <w:lang w:val="en-US" w:eastAsia="zh-CN"/>
        </w:rPr>
        <w:t>6</w:t>
      </w:r>
      <w:r>
        <w:rPr>
          <w:rFonts w:hint="eastAsia"/>
          <w:highlight w:val="none"/>
        </w:rPr>
        <w:t xml:space="preserve"> 审核实施</w:t>
      </w:r>
      <w:bookmarkEnd w:id="69"/>
      <w:bookmarkEnd w:id="70"/>
      <w:bookmarkEnd w:id="71"/>
      <w:bookmarkStart w:id="72" w:name="一"/>
      <w:bookmarkEnd w:id="72"/>
    </w:p>
    <w:p>
      <w:pPr>
        <w:pStyle w:val="3"/>
        <w:bidi w:val="0"/>
        <w:rPr>
          <w:rFonts w:hint="eastAsia"/>
          <w:highlight w:val="none"/>
        </w:rPr>
      </w:pPr>
      <w:bookmarkStart w:id="73" w:name="_Toc444776332"/>
      <w:bookmarkStart w:id="74" w:name="_Toc528053016"/>
      <w:bookmarkStart w:id="75" w:name="_Toc185325627"/>
      <w:r>
        <w:rPr>
          <w:rFonts w:hint="eastAsia"/>
          <w:highlight w:val="none"/>
          <w:lang w:val="en-US" w:eastAsia="zh-CN"/>
        </w:rPr>
        <w:t>6</w:t>
      </w:r>
      <w:r>
        <w:rPr>
          <w:rFonts w:hint="eastAsia"/>
          <w:highlight w:val="none"/>
        </w:rPr>
        <w:t>.1 审核准则</w:t>
      </w:r>
      <w:bookmarkEnd w:id="73"/>
      <w:bookmarkEnd w:id="74"/>
      <w:bookmarkEnd w:id="75"/>
    </w:p>
    <w:p>
      <w:pPr>
        <w:spacing w:line="360" w:lineRule="auto"/>
        <w:ind w:firstLine="360" w:firstLineChars="150"/>
        <w:rPr>
          <w:rFonts w:hint="eastAsia" w:ascii="宋体" w:hAnsi="宋体"/>
          <w:sz w:val="24"/>
          <w:highlight w:val="none"/>
        </w:rPr>
      </w:pPr>
      <w:r>
        <w:rPr>
          <w:rFonts w:hint="eastAsia" w:ascii="宋体" w:hAnsi="宋体"/>
          <w:sz w:val="24"/>
          <w:highlight w:val="none"/>
        </w:rPr>
        <w:t>认证双方确认的审核依据标准为ISO37001-2016《反贿赂管理体系 要求及使用指南》。</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审核准则还包括受审核方所适用的方针、程序、标准、法律法规、反贿赂管理体系要求、合同要求或行业规范。</w:t>
      </w:r>
    </w:p>
    <w:p>
      <w:pPr>
        <w:pStyle w:val="3"/>
        <w:bidi w:val="0"/>
        <w:rPr>
          <w:highlight w:val="none"/>
          <w:lang w:val="en-GB"/>
        </w:rPr>
      </w:pPr>
      <w:bookmarkStart w:id="76" w:name="_Toc444776333"/>
      <w:bookmarkStart w:id="77" w:name="_Toc528053017"/>
      <w:bookmarkStart w:id="78" w:name="_Toc185325628"/>
      <w:r>
        <w:rPr>
          <w:rFonts w:hint="eastAsia"/>
          <w:highlight w:val="none"/>
          <w:lang w:val="en-US" w:eastAsia="zh-CN"/>
        </w:rPr>
        <w:t>6</w:t>
      </w:r>
      <w:r>
        <w:rPr>
          <w:highlight w:val="none"/>
        </w:rPr>
        <w:t xml:space="preserve">.2 </w:t>
      </w:r>
      <w:r>
        <w:rPr>
          <w:rFonts w:hint="eastAsia"/>
          <w:highlight w:val="none"/>
        </w:rPr>
        <w:t>审核过程</w:t>
      </w:r>
      <w:bookmarkEnd w:id="76"/>
      <w:bookmarkEnd w:id="77"/>
      <w:bookmarkEnd w:id="78"/>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color w:val="FF0000"/>
          <w:sz w:val="24"/>
          <w:highlight w:val="none"/>
        </w:rPr>
        <w:t xml:space="preserve"> </w:t>
      </w:r>
      <w:r>
        <w:rPr>
          <w:rFonts w:hint="eastAsia" w:ascii="宋体" w:hAnsi="宋体"/>
          <w:bCs/>
          <w:sz w:val="24"/>
          <w:highlight w:val="none"/>
        </w:rPr>
        <w:t>初次认证审核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审核的目的是了解受审核方的基本信息、审核管理体系文件的符合性，内部审核和管理评审活动完成的情况，反贿赂管理体系建立和实施的情况，识别任何引起关注的、在第二阶段审核中可能被判定为不符合的问题，为第二阶段审核提供关注点。</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hint="eastAsia" w:ascii="宋体" w:hAnsi="宋体"/>
          <w:color w:val="FF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反贿赂管理目标的实现具有重要影响的关键点、相关的法律法规要求的遵守情况以及管理体系范围和边界，以确定第二阶段审核安排。</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与适用的管理体系标准和其他规范性文件的所有要求的符合情况；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依据关键绩效目标和指标，对反贿赂管理绩效进行的监视、测量、报告和评审；</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反贿赂管理体系和反贿赂管理绩效中与遵守法律有关的方面；</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受审核方过程的运作控制；</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内部审核和管理评审实施情况；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管理职责的落实，包括针对方针、目标的管理职责；</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规范性要求、方针、反贿赂管理绩效目标和指标、适用的法律要求、职责、人员能力、运作、程序、绩效数据和内部审核发现及结论之间的联系。</w:t>
      </w:r>
    </w:p>
    <w:p>
      <w:pPr>
        <w:spacing w:line="360" w:lineRule="auto"/>
        <w:ind w:firstLine="480" w:firstLineChars="200"/>
        <w:jc w:val="left"/>
        <w:rPr>
          <w:rFonts w:hint="eastAsia" w:ascii="宋体" w:hAnsi="宋体"/>
          <w:color w:val="000000"/>
          <w:sz w:val="24"/>
          <w:highlight w:val="none"/>
        </w:rPr>
      </w:pPr>
      <w:r>
        <w:rPr>
          <w:rFonts w:hint="eastAsia" w:hAnsi="宋体"/>
          <w:bCs/>
          <w:color w:val="000000"/>
          <w:sz w:val="24"/>
          <w:highlight w:val="none"/>
        </w:rPr>
        <w:t>如果认证客户不能在初次认证第二阶段结束后的规定时间内按要求关闭不符合，CQM将</w:t>
      </w:r>
      <w:r>
        <w:rPr>
          <w:rFonts w:hint="eastAsia" w:hAnsi="宋体"/>
          <w:color w:val="000000"/>
          <w:sz w:val="24"/>
          <w:highlight w:val="none"/>
        </w:rPr>
        <w:t>再实施一次第二阶段审核或不批准认证。</w:t>
      </w:r>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任何变更（如资源、过程、组织结构、已识别的关键控制点等）；</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持续的运作控制反贿赂目标的实现情况；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内部审核和管理评审；</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投诉的处理；</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管理体系实施的有效性；</w:t>
      </w:r>
    </w:p>
    <w:p>
      <w:pPr>
        <w:numPr>
          <w:ilvl w:val="0"/>
          <w:numId w:val="3"/>
        </w:numPr>
        <w:spacing w:line="360" w:lineRule="auto"/>
        <w:jc w:val="left"/>
        <w:rPr>
          <w:rFonts w:hint="eastAsia" w:ascii="宋体" w:hAnsi="宋体"/>
          <w:color w:val="000000"/>
          <w:sz w:val="24"/>
          <w:highlight w:val="none"/>
        </w:rPr>
      </w:pPr>
      <w:r>
        <w:rPr>
          <w:rFonts w:hint="eastAsia" w:ascii="宋体" w:hAnsi="宋体"/>
          <w:color w:val="000000"/>
          <w:sz w:val="24"/>
          <w:highlight w:val="none"/>
        </w:rPr>
        <w:t>认证范围相关的</w:t>
      </w:r>
      <w:r>
        <w:rPr>
          <w:rFonts w:hint="eastAsia" w:ascii="宋体" w:hAnsi="宋体" w:cs="宋体"/>
          <w:color w:val="000000"/>
          <w:sz w:val="24"/>
          <w:highlight w:val="none"/>
        </w:rPr>
        <w:t>反贿赂管理活动现场情况；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为持续改进而策划的活动的进展；</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针对上次审核中确定的不符合所采取的措施和效果；</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证书和标志的使用和（或）任何其他对认证资格的引用。</w:t>
      </w:r>
    </w:p>
    <w:p>
      <w:pPr>
        <w:spacing w:line="360" w:lineRule="auto"/>
        <w:ind w:left="480"/>
        <w:rPr>
          <w:rFonts w:hint="eastAsia" w:ascii="宋体" w:hAnsi="宋体"/>
          <w:sz w:val="24"/>
          <w:highlight w:val="none"/>
        </w:rPr>
      </w:pPr>
      <w:r>
        <w:rPr>
          <w:rFonts w:hint="eastAsia" w:ascii="宋体" w:hAnsi="宋体"/>
          <w:sz w:val="24"/>
          <w:highlight w:val="none"/>
        </w:rPr>
        <w:t>获证客户应保存全部投诉记录，需要时提供认证机构。</w:t>
      </w:r>
    </w:p>
    <w:p>
      <w:pPr>
        <w:pStyle w:val="8"/>
        <w:spacing w:line="360" w:lineRule="auto"/>
        <w:ind w:firstLine="480"/>
        <w:rPr>
          <w:rFonts w:hint="eastAsia"/>
          <w:sz w:val="24"/>
          <w:szCs w:val="24"/>
          <w:highlight w:val="none"/>
          <w:lang w:eastAsia="zh-CN"/>
        </w:rPr>
      </w:pPr>
      <w:r>
        <w:rPr>
          <w:rFonts w:hint="eastAsia"/>
          <w:sz w:val="24"/>
          <w:szCs w:val="24"/>
          <w:highlight w:val="none"/>
        </w:rPr>
        <w:t>CQM根据以上信息对获证客户管理体系进行再评价，确认其是否持续满足认证要求。</w:t>
      </w:r>
    </w:p>
    <w:p>
      <w:pPr>
        <w:pStyle w:val="8"/>
        <w:spacing w:line="360" w:lineRule="auto"/>
        <w:ind w:firstLine="480"/>
        <w:rPr>
          <w:sz w:val="24"/>
          <w:szCs w:val="24"/>
          <w:highlight w:val="none"/>
          <w:lang w:eastAsia="zh-CN"/>
        </w:rPr>
      </w:pPr>
      <w:r>
        <w:rPr>
          <w:rFonts w:hint="eastAsia"/>
          <w:sz w:val="24"/>
          <w:szCs w:val="24"/>
          <w:highlight w:val="none"/>
          <w:lang w:eastAsia="zh-CN"/>
        </w:rPr>
        <w:t>监督审核时，如认证客户没有按时关闭不符合，将可能导致认证证书的暂停或撤销。</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p>
    <w:p>
      <w:pPr>
        <w:spacing w:line="360" w:lineRule="auto"/>
        <w:ind w:left="-1" w:leftChars="-1" w:hanging="1"/>
        <w:rPr>
          <w:rFonts w:hint="eastAsia" w:ascii="宋体" w:hAnsi="宋体" w:cs="宋体"/>
          <w:kern w:val="0"/>
          <w:sz w:val="24"/>
          <w:highlight w:val="none"/>
        </w:rPr>
      </w:pPr>
      <w:r>
        <w:rPr>
          <w:rFonts w:hint="eastAsia" w:ascii="宋体" w:hAnsi="宋体"/>
          <w:sz w:val="24"/>
          <w:highlight w:val="none"/>
        </w:rPr>
        <w:t xml:space="preserve">    在证书有效期内，获证客户须接受监督审核，监督审核应至少每个日历年（应进行再认证的年份除外）进行一次。初次认证/再认证后的第一次监督审核应在认证决定日期起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此后，监督审核应至少每个日历年（应进行再认证的年份除外）进行一次，且两次监督审核的时间间隔不得超过15个月。</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4"/>
        </w:numPr>
        <w:spacing w:line="360" w:lineRule="auto"/>
        <w:rPr>
          <w:rFonts w:hint="eastAsia" w:ascii="宋体" w:hAnsi="宋体"/>
          <w:sz w:val="24"/>
          <w:highlight w:val="none"/>
        </w:rPr>
      </w:pPr>
      <w:r>
        <w:rPr>
          <w:rFonts w:hint="eastAsia" w:ascii="宋体" w:hAnsi="宋体"/>
          <w:sz w:val="24"/>
          <w:highlight w:val="none"/>
        </w:rPr>
        <w:t>获证客户对反贿赂管理体系进行了重大更改；</w:t>
      </w:r>
    </w:p>
    <w:p>
      <w:pPr>
        <w:pStyle w:val="8"/>
        <w:numPr>
          <w:ilvl w:val="0"/>
          <w:numId w:val="4"/>
        </w:numPr>
        <w:spacing w:line="360" w:lineRule="auto"/>
        <w:ind w:firstLineChars="0"/>
        <w:rPr>
          <w:rFonts w:hint="eastAsia"/>
          <w:sz w:val="24"/>
          <w:szCs w:val="24"/>
          <w:highlight w:val="none"/>
        </w:rPr>
      </w:pPr>
      <w:r>
        <w:rPr>
          <w:rFonts w:hint="eastAsia"/>
          <w:sz w:val="24"/>
          <w:szCs w:val="24"/>
          <w:highlight w:val="none"/>
        </w:rPr>
        <w:t>有足够信息表明获证客户发生了组织机构、</w:t>
      </w:r>
      <w:r>
        <w:rPr>
          <w:rFonts w:hint="eastAsia"/>
          <w:sz w:val="24"/>
          <w:szCs w:val="24"/>
          <w:highlight w:val="none"/>
          <w:lang w:eastAsia="zh-CN"/>
        </w:rPr>
        <w:t>业务活动</w:t>
      </w:r>
      <w:r>
        <w:rPr>
          <w:rFonts w:hint="eastAsia"/>
          <w:sz w:val="24"/>
          <w:szCs w:val="24"/>
          <w:highlight w:val="none"/>
        </w:rPr>
        <w:t>、</w:t>
      </w:r>
      <w:r>
        <w:rPr>
          <w:rFonts w:hint="eastAsia"/>
          <w:sz w:val="24"/>
          <w:szCs w:val="24"/>
          <w:highlight w:val="none"/>
          <w:lang w:eastAsia="zh-CN"/>
        </w:rPr>
        <w:t>运作模式</w:t>
      </w:r>
      <w:r>
        <w:rPr>
          <w:rFonts w:hint="eastAsia"/>
          <w:sz w:val="24"/>
          <w:szCs w:val="24"/>
          <w:highlight w:val="none"/>
        </w:rPr>
        <w:t>等影响到其认证基础的更改；</w:t>
      </w:r>
    </w:p>
    <w:p>
      <w:pPr>
        <w:pStyle w:val="8"/>
        <w:numPr>
          <w:ilvl w:val="0"/>
          <w:numId w:val="4"/>
        </w:numPr>
        <w:spacing w:line="360" w:lineRule="auto"/>
        <w:ind w:firstLineChars="0"/>
        <w:rPr>
          <w:rFonts w:hint="eastAsia"/>
          <w:sz w:val="24"/>
          <w:szCs w:val="24"/>
          <w:highlight w:val="none"/>
        </w:rPr>
      </w:pPr>
      <w:r>
        <w:rPr>
          <w:rFonts w:hint="eastAsia"/>
          <w:sz w:val="24"/>
          <w:szCs w:val="24"/>
          <w:highlight w:val="none"/>
        </w:rPr>
        <w:t>获证客户出现</w:t>
      </w:r>
      <w:r>
        <w:rPr>
          <w:rFonts w:hint="eastAsia"/>
          <w:sz w:val="24"/>
          <w:szCs w:val="24"/>
          <w:highlight w:val="none"/>
          <w:lang w:eastAsia="zh-CN"/>
        </w:rPr>
        <w:t>反贿赂管理</w:t>
      </w:r>
      <w:r>
        <w:rPr>
          <w:rFonts w:hint="eastAsia"/>
          <w:sz w:val="24"/>
          <w:szCs w:val="24"/>
          <w:highlight w:val="none"/>
        </w:rPr>
        <w:t>事故或</w:t>
      </w:r>
      <w:r>
        <w:rPr>
          <w:rFonts w:hint="eastAsia"/>
          <w:sz w:val="24"/>
          <w:szCs w:val="24"/>
          <w:highlight w:val="none"/>
          <w:lang w:eastAsia="zh-CN"/>
        </w:rPr>
        <w:t>相关方</w:t>
      </w:r>
      <w:r>
        <w:rPr>
          <w:rFonts w:hint="eastAsia"/>
          <w:sz w:val="24"/>
          <w:szCs w:val="24"/>
          <w:highlight w:val="none"/>
        </w:rPr>
        <w:t>提出对相关管理体系运行效果的投诉未得到处理时；</w:t>
      </w:r>
    </w:p>
    <w:p>
      <w:pPr>
        <w:pStyle w:val="8"/>
        <w:numPr>
          <w:ilvl w:val="0"/>
          <w:numId w:val="4"/>
        </w:numPr>
        <w:spacing w:line="360" w:lineRule="auto"/>
        <w:ind w:firstLineChars="0"/>
        <w:rPr>
          <w:sz w:val="24"/>
          <w:szCs w:val="24"/>
          <w:highlight w:val="none"/>
        </w:rPr>
      </w:pPr>
      <w:r>
        <w:rPr>
          <w:rFonts w:hint="eastAsia"/>
          <w:sz w:val="24"/>
          <w:szCs w:val="24"/>
          <w:highlight w:val="none"/>
        </w:rPr>
        <w:t>其他需要考虑的情况。</w:t>
      </w:r>
      <w:bookmarkStart w:id="79" w:name="_Toc33600433"/>
      <w:bookmarkStart w:id="80" w:name="_Toc33599726"/>
      <w:bookmarkStart w:id="81" w:name="_Toc33599599"/>
      <w:bookmarkStart w:id="82" w:name="_Toc33600389"/>
    </w:p>
    <w:bookmarkEnd w:id="79"/>
    <w:bookmarkEnd w:id="80"/>
    <w:bookmarkEnd w:id="81"/>
    <w:bookmarkEnd w:id="82"/>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8"/>
        <w:spacing w:line="360" w:lineRule="auto"/>
        <w:ind w:firstLine="480"/>
        <w:rPr>
          <w:rFonts w:hint="eastAsia"/>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w:t>
      </w:r>
      <w:r>
        <w:rPr>
          <w:rFonts w:hint="eastAsia"/>
          <w:color w:val="auto"/>
          <w:sz w:val="24"/>
          <w:szCs w:val="24"/>
          <w:highlight w:val="none"/>
          <w:lang w:val="en-US" w:eastAsia="zh-CN"/>
        </w:rPr>
        <w:t>6</w:t>
      </w:r>
      <w:r>
        <w:rPr>
          <w:rFonts w:hint="eastAsia"/>
          <w:color w:val="auto"/>
          <w:sz w:val="24"/>
          <w:szCs w:val="24"/>
          <w:highlight w:val="none"/>
        </w:rPr>
        <w:t>.2.1条实施。</w:t>
      </w:r>
    </w:p>
    <w:p>
      <w:pPr>
        <w:pStyle w:val="8"/>
        <w:spacing w:line="360" w:lineRule="auto"/>
        <w:ind w:firstLine="480"/>
        <w:rPr>
          <w:rFonts w:hint="eastAsia"/>
          <w:color w:val="auto"/>
          <w:sz w:val="24"/>
          <w:szCs w:val="24"/>
          <w:highlight w:val="none"/>
        </w:rPr>
      </w:pPr>
      <w:r>
        <w:rPr>
          <w:rFonts w:hint="eastAsia"/>
          <w:color w:val="auto"/>
          <w:sz w:val="24"/>
          <w:szCs w:val="24"/>
          <w:highlight w:val="none"/>
        </w:rPr>
        <w:t>在对获证客户的日常监督中，发现获证客户的出现严重影响管理体系运作的重大变更时，或对获证客户的投诉分析和其他信息表明获证客户不再满足认证要求时，将安排特殊审核或与获证客户商定提前安排再认证审核。</w:t>
      </w:r>
    </w:p>
    <w:p>
      <w:pPr>
        <w:spacing w:line="360" w:lineRule="auto"/>
        <w:ind w:firstLine="480" w:firstLineChars="200"/>
        <w:rPr>
          <w:rFonts w:hint="eastAsia"/>
          <w:color w:val="000000"/>
          <w:sz w:val="24"/>
          <w:highlight w:val="none"/>
        </w:rPr>
      </w:pPr>
      <w:r>
        <w:rPr>
          <w:rFonts w:hint="eastAsia" w:ascii="宋体" w:hAnsi="宋体"/>
          <w:color w:val="000000"/>
          <w:sz w:val="24"/>
          <w:highlight w:val="none"/>
        </w:rPr>
        <w:t>再认证时通常可不进行一阶段审核，但当获证客户的管理体系和获证客户的内外部运作环境有重大变化时，再认证审核活动可能需要有第一阶段审核</w:t>
      </w:r>
      <w:r>
        <w:rPr>
          <w:rFonts w:hint="eastAsia"/>
          <w:color w:val="000000"/>
          <w:sz w:val="24"/>
          <w:highlight w:val="none"/>
        </w:rPr>
        <w:t>。</w:t>
      </w:r>
    </w:p>
    <w:p>
      <w:pPr>
        <w:spacing w:line="360" w:lineRule="auto"/>
        <w:ind w:firstLine="480" w:firstLineChars="200"/>
        <w:rPr>
          <w:rFonts w:hint="eastAsia"/>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8"/>
        <w:spacing w:line="360" w:lineRule="auto"/>
        <w:ind w:firstLine="480"/>
        <w:rPr>
          <w:rFonts w:hint="eastAsia"/>
          <w:sz w:val="24"/>
          <w:szCs w:val="24"/>
          <w:highlight w:val="none"/>
          <w:lang w:val="en-GB"/>
        </w:rPr>
      </w:pPr>
      <w:r>
        <w:rPr>
          <w:rFonts w:hint="eastAsia"/>
          <w:sz w:val="24"/>
          <w:szCs w:val="24"/>
          <w:highlight w:val="none"/>
          <w:lang w:val="en-GB"/>
        </w:rPr>
        <w:t>针对已获证的客户，</w:t>
      </w:r>
      <w:r>
        <w:rPr>
          <w:rFonts w:hint="eastAsia"/>
          <w:sz w:val="24"/>
          <w:szCs w:val="24"/>
          <w:highlight w:val="none"/>
          <w:lang w:val="en-GB" w:eastAsia="zh-CN"/>
        </w:rPr>
        <w:t>CQM</w:t>
      </w:r>
      <w:r>
        <w:rPr>
          <w:rFonts w:hint="eastAsia"/>
          <w:sz w:val="24"/>
          <w:szCs w:val="24"/>
          <w:highlight w:val="none"/>
          <w:lang w:val="en-GB"/>
        </w:rPr>
        <w:t>对扩大认证范围的申请进行评审，确定能否予以扩大的决定所需的审核活动，这一工作可与监督审核同时进行。</w:t>
      </w:r>
    </w:p>
    <w:p>
      <w:pPr>
        <w:spacing w:line="360" w:lineRule="auto"/>
        <w:rPr>
          <w:rFonts w:hint="eastAsia"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rFonts w:hint="eastAsia"/>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rFonts w:hint="eastAsia"/>
          <w:highlight w:val="none"/>
          <w:lang w:val="en-GB"/>
        </w:rPr>
      </w:pPr>
      <w:r>
        <w:rPr>
          <w:rFonts w:hint="eastAsia"/>
          <w:sz w:val="24"/>
          <w:highlight w:val="none"/>
          <w:lang w:val="en-GB"/>
        </w:rPr>
        <w:t>获证客户被国家行政主管部门查出不符合时，CQM将对获证客户实施特殊审核。如获证客户不接受特殊审核，认证证书将被暂停。</w:t>
      </w:r>
    </w:p>
    <w:p>
      <w:pPr>
        <w:pStyle w:val="3"/>
        <w:bidi w:val="0"/>
        <w:rPr>
          <w:rFonts w:hint="eastAsia"/>
          <w:highlight w:val="none"/>
        </w:rPr>
      </w:pPr>
      <w:bookmarkStart w:id="83" w:name="_Toc528053018"/>
      <w:bookmarkStart w:id="84" w:name="_Toc444776334"/>
      <w:bookmarkStart w:id="85" w:name="_Toc185325629"/>
      <w:r>
        <w:rPr>
          <w:rFonts w:hint="eastAsia"/>
          <w:highlight w:val="none"/>
          <w:lang w:val="en-US" w:eastAsia="zh-CN"/>
        </w:rPr>
        <w:t>6</w:t>
      </w:r>
      <w:r>
        <w:rPr>
          <w:rFonts w:hint="eastAsia"/>
          <w:highlight w:val="none"/>
        </w:rPr>
        <w:t>.</w:t>
      </w:r>
      <w:r>
        <w:rPr>
          <w:highlight w:val="none"/>
        </w:rPr>
        <w:t>3</w:t>
      </w:r>
      <w:r>
        <w:rPr>
          <w:rFonts w:hint="eastAsia"/>
          <w:highlight w:val="none"/>
        </w:rPr>
        <w:t xml:space="preserve"> 现场审核活动实施</w:t>
      </w:r>
      <w:bookmarkEnd w:id="83"/>
      <w:bookmarkEnd w:id="84"/>
      <w:bookmarkEnd w:id="85"/>
    </w:p>
    <w:p>
      <w:pPr>
        <w:spacing w:line="360" w:lineRule="auto"/>
        <w:ind w:firstLine="480"/>
        <w:jc w:val="left"/>
        <w:rPr>
          <w:rFonts w:hint="eastAsia"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hint="eastAsia"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hint="eastAsia"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86" w:name="_Toc30792"/>
      <w:bookmarkStart w:id="87" w:name="_Toc24138"/>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86"/>
      <w:bookmarkEnd w:id="87"/>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88" w:name="_Toc3969"/>
      <w:bookmarkStart w:id="89" w:name="_Toc10692"/>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88"/>
      <w:bookmarkEnd w:id="89"/>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90" w:name="_Toc22742"/>
      <w:bookmarkStart w:id="91" w:name="_Toc1001"/>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90"/>
      <w:bookmarkEnd w:id="91"/>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spacing w:line="360" w:lineRule="auto"/>
        <w:jc w:val="left"/>
        <w:rPr>
          <w:rFonts w:hint="eastAsia" w:ascii="宋体" w:hAnsi="宋体"/>
          <w:sz w:val="24"/>
          <w:highlight w:val="none"/>
        </w:rPr>
      </w:pPr>
    </w:p>
    <w:p>
      <w:pPr>
        <w:pStyle w:val="2"/>
        <w:bidi w:val="0"/>
        <w:rPr>
          <w:highlight w:val="none"/>
        </w:rPr>
      </w:pPr>
      <w:bookmarkStart w:id="92" w:name="_Toc27984"/>
      <w:bookmarkStart w:id="93" w:name="_Toc528053019"/>
      <w:bookmarkStart w:id="94" w:name="_Toc21148"/>
      <w:r>
        <w:rPr>
          <w:rFonts w:hint="eastAsia"/>
          <w:highlight w:val="none"/>
          <w:lang w:val="en-US" w:eastAsia="zh-CN"/>
        </w:rPr>
        <w:t>10</w:t>
      </w:r>
      <w:r>
        <w:rPr>
          <w:rFonts w:hint="eastAsia"/>
          <w:highlight w:val="none"/>
        </w:rPr>
        <w:t xml:space="preserve"> 认证的批准、拒绝、保持、扩大、缩小、暂停、恢复和撤销的条件和程序</w:t>
      </w:r>
      <w:bookmarkEnd w:id="92"/>
      <w:bookmarkEnd w:id="93"/>
      <w:bookmarkEnd w:id="94"/>
    </w:p>
    <w:p>
      <w:pPr>
        <w:pStyle w:val="3"/>
        <w:bidi w:val="0"/>
        <w:rPr>
          <w:rFonts w:hint="eastAsia"/>
          <w:highlight w:val="none"/>
        </w:rPr>
      </w:pPr>
      <w:bookmarkStart w:id="95" w:name="_Toc185325631"/>
      <w:bookmarkStart w:id="96" w:name="_Toc85105516"/>
      <w:bookmarkStart w:id="97" w:name="_Toc85256252"/>
      <w:bookmarkStart w:id="98" w:name="_Toc85103627"/>
      <w:bookmarkStart w:id="99" w:name="_Toc444776336"/>
      <w:bookmarkStart w:id="100" w:name="_Toc528053020"/>
      <w:r>
        <w:rPr>
          <w:rFonts w:hint="eastAsia"/>
          <w:highlight w:val="none"/>
          <w:lang w:val="en-US" w:eastAsia="zh-CN"/>
        </w:rPr>
        <w:t>10</w:t>
      </w:r>
      <w:r>
        <w:rPr>
          <w:rFonts w:hint="eastAsia"/>
          <w:highlight w:val="none"/>
        </w:rPr>
        <w:t xml:space="preserve">.1 </w:t>
      </w:r>
      <w:bookmarkEnd w:id="95"/>
      <w:bookmarkEnd w:id="96"/>
      <w:bookmarkEnd w:id="97"/>
      <w:bookmarkEnd w:id="98"/>
      <w:r>
        <w:rPr>
          <w:rFonts w:hint="eastAsia"/>
          <w:highlight w:val="none"/>
        </w:rPr>
        <w:t>批准认证</w:t>
      </w:r>
      <w:r>
        <w:rPr>
          <w:rFonts w:hint="eastAsia"/>
          <w:highlight w:val="none"/>
          <w:lang w:eastAsia="zh-CN"/>
        </w:rPr>
        <w:t>范围</w:t>
      </w:r>
      <w:r>
        <w:rPr>
          <w:rFonts w:hint="eastAsia"/>
          <w:highlight w:val="none"/>
        </w:rPr>
        <w:t>的条件和程序</w:t>
      </w:r>
      <w:bookmarkEnd w:id="99"/>
      <w:bookmarkEnd w:id="100"/>
    </w:p>
    <w:p>
      <w:pPr>
        <w:spacing w:line="360" w:lineRule="auto"/>
        <w:rPr>
          <w:rFonts w:hint="eastAsia"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认证客户的申请材料真实、准确、有效；</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认证客户建立和实施的相关管理体系符合认证标准/规范性文件要求，审核组提出推荐认证的结论意见；</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认证客户申请认证范围在法律地位文件和资质规定的范围内；</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国家或地方或行业有要求时，认证客户申请认证范围内的组织反贿赂管理过程和活动已满足适用的法律法规的要求；</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至少近一年来，认证客户申请认证范围内未发生由反贿赂管理引发的重大事故或国家检查不合格；</w:t>
      </w:r>
    </w:p>
    <w:p>
      <w:pPr>
        <w:numPr>
          <w:ilvl w:val="0"/>
          <w:numId w:val="5"/>
        </w:numPr>
        <w:adjustRightInd w:val="0"/>
        <w:snapToGrid w:val="0"/>
        <w:spacing w:line="360" w:lineRule="auto"/>
        <w:rPr>
          <w:rFonts w:hint="eastAsia" w:ascii="宋体" w:hAnsi="宋体"/>
          <w:sz w:val="24"/>
          <w:highlight w:val="none"/>
        </w:rPr>
      </w:pPr>
      <w:r>
        <w:rPr>
          <w:rFonts w:hint="eastAsia" w:ascii="宋体" w:hAnsi="宋体"/>
          <w:sz w:val="24"/>
          <w:highlight w:val="none"/>
        </w:rPr>
        <w:t>认证客户已与CQM签署认证合同，承诺始终遵守认证的有关规定，并按照认证合同规定缴纳认证费用。</w:t>
      </w:r>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.1.2 批准认证资格的程序</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认证客户向CQM正式提交认证申请书和相关附件；</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CQM向认证客户颁发认证证书，要求获证方按规定使用认证标志。</w:t>
      </w:r>
    </w:p>
    <w:p>
      <w:pPr>
        <w:pStyle w:val="3"/>
        <w:bidi w:val="0"/>
        <w:rPr>
          <w:rFonts w:hint="eastAsia"/>
          <w:highlight w:val="none"/>
        </w:rPr>
      </w:pPr>
      <w:bookmarkStart w:id="101" w:name="_Toc444776337"/>
      <w:bookmarkStart w:id="102" w:name="_Toc528053021"/>
      <w:r>
        <w:rPr>
          <w:rFonts w:hint="eastAsia" w:ascii="宋体" w:hAnsi="宋体"/>
          <w:bCs/>
          <w:color w:val="000000"/>
          <w:sz w:val="24"/>
          <w:highlight w:val="none"/>
          <w:lang w:val="en-US" w:eastAsia="zh-CN"/>
        </w:rPr>
        <w:t>10</w:t>
      </w:r>
      <w:r>
        <w:rPr>
          <w:rFonts w:hint="eastAsia"/>
          <w:highlight w:val="none"/>
        </w:rPr>
        <w:t xml:space="preserve">.2 </w:t>
      </w:r>
      <w:r>
        <w:rPr>
          <w:rFonts w:hint="eastAsia"/>
          <w:highlight w:val="none"/>
          <w:lang w:eastAsia="zh-CN"/>
        </w:rPr>
        <w:t>拒绝</w:t>
      </w:r>
      <w:r>
        <w:rPr>
          <w:rFonts w:hint="eastAsia"/>
          <w:highlight w:val="none"/>
        </w:rPr>
        <w:t>认证</w:t>
      </w:r>
      <w:r>
        <w:rPr>
          <w:rFonts w:hint="eastAsia"/>
          <w:highlight w:val="none"/>
          <w:lang w:eastAsia="zh-CN"/>
        </w:rPr>
        <w:t>注册</w:t>
      </w:r>
      <w:r>
        <w:rPr>
          <w:rFonts w:hint="eastAsia"/>
          <w:highlight w:val="none"/>
        </w:rPr>
        <w:t>的条件和程序</w:t>
      </w:r>
      <w:bookmarkEnd w:id="101"/>
      <w:bookmarkEnd w:id="102"/>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.2.1 拒绝认证资格的条件</w:t>
      </w:r>
    </w:p>
    <w:p>
      <w:pPr>
        <w:numPr>
          <w:ilvl w:val="0"/>
          <w:numId w:val="7"/>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r>
        <w:rPr>
          <w:rFonts w:ascii="宋体" w:hAnsi="宋体"/>
          <w:sz w:val="24"/>
          <w:highlight w:val="none"/>
        </w:rPr>
        <w:t xml:space="preserve"> </w:t>
      </w:r>
    </w:p>
    <w:p>
      <w:pPr>
        <w:numPr>
          <w:ilvl w:val="0"/>
          <w:numId w:val="7"/>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认证客户的管理体系有重大缺陷，不符合认证标准的要求，或认证客户存在重大反贿赂管理相关问题及与认证范围内相关严重违法违规行为，经CQM的审定结论为不予认证注册；</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7"/>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CQM的审定结论为不予认证注册。</w:t>
      </w:r>
    </w:p>
    <w:p>
      <w:pPr>
        <w:tabs>
          <w:tab w:val="left" w:pos="720"/>
        </w:tabs>
        <w:spacing w:line="360" w:lineRule="auto"/>
        <w:rPr>
          <w:rFonts w:hint="eastAsia" w:ascii="宋体" w:hAnsi="宋体"/>
          <w:bCs/>
          <w:i/>
          <w:i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.2.2 拒绝认证注册的程序</w:t>
      </w:r>
    </w:p>
    <w:p>
      <w:pPr>
        <w:pStyle w:val="10"/>
        <w:numPr>
          <w:ilvl w:val="1"/>
          <w:numId w:val="6"/>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iCs/>
          <w:sz w:val="24"/>
          <w:highlight w:val="none"/>
          <w:lang w:eastAsia="zh-CN"/>
        </w:rPr>
        <w:t>符合</w:t>
      </w:r>
      <w:r>
        <w:rPr>
          <w:rFonts w:hint="eastAsia" w:ascii="宋体" w:hAnsi="宋体"/>
          <w:bCs/>
          <w:color w:val="000000"/>
          <w:sz w:val="24"/>
          <w:highlight w:val="none"/>
          <w:lang w:val="en-US" w:eastAsia="zh-CN"/>
        </w:rPr>
        <w:t>10</w:t>
      </w:r>
      <w:r>
        <w:rPr>
          <w:rFonts w:hint="eastAsia" w:ascii="宋体" w:hAnsi="宋体"/>
          <w:iCs/>
          <w:sz w:val="24"/>
          <w:highlight w:val="none"/>
        </w:rPr>
        <w:t>.2.1条件</w:t>
      </w:r>
      <w:r>
        <w:rPr>
          <w:rFonts w:hint="eastAsia" w:ascii="宋体" w:hAnsi="宋体"/>
          <w:iCs/>
          <w:sz w:val="24"/>
          <w:highlight w:val="none"/>
          <w:lang w:eastAsia="zh-CN"/>
        </w:rPr>
        <w:t>之一</w:t>
      </w:r>
      <w:r>
        <w:rPr>
          <w:rFonts w:hint="eastAsia" w:ascii="宋体" w:hAnsi="宋体"/>
          <w:iCs/>
          <w:sz w:val="24"/>
          <w:highlight w:val="none"/>
        </w:rPr>
        <w:t>，</w:t>
      </w:r>
      <w:r>
        <w:rPr>
          <w:rFonts w:hint="eastAsia" w:ascii="宋体" w:hAnsi="宋体"/>
          <w:iCs/>
          <w:sz w:val="24"/>
          <w:highlight w:val="none"/>
          <w:lang w:eastAsia="zh-CN"/>
        </w:rPr>
        <w:t>经CQM</w:t>
      </w:r>
      <w:r>
        <w:rPr>
          <w:rFonts w:hint="eastAsia" w:ascii="宋体" w:hAnsi="宋体"/>
          <w:sz w:val="24"/>
          <w:highlight w:val="none"/>
        </w:rPr>
        <w:t>评审</w:t>
      </w:r>
      <w:r>
        <w:rPr>
          <w:rFonts w:hint="eastAsia" w:ascii="宋体" w:hAnsi="宋体"/>
          <w:sz w:val="24"/>
          <w:highlight w:val="none"/>
          <w:lang w:eastAsia="zh-CN"/>
        </w:rPr>
        <w:t>为</w:t>
      </w:r>
      <w:r>
        <w:rPr>
          <w:rFonts w:hint="eastAsia" w:ascii="宋体" w:hAnsi="宋体"/>
          <w:sz w:val="24"/>
          <w:highlight w:val="none"/>
        </w:rPr>
        <w:t>不予受理</w:t>
      </w:r>
      <w:r>
        <w:rPr>
          <w:rFonts w:hint="eastAsia" w:ascii="宋体" w:hAnsi="宋体"/>
          <w:sz w:val="24"/>
          <w:highlight w:val="none"/>
          <w:lang w:eastAsia="zh-CN"/>
        </w:rPr>
        <w:t>认证或认证</w:t>
      </w:r>
      <w:r>
        <w:rPr>
          <w:rFonts w:hint="eastAsia" w:ascii="宋体" w:hAnsi="宋体"/>
          <w:sz w:val="24"/>
          <w:highlight w:val="none"/>
        </w:rPr>
        <w:t>客户的管理体系不满足批准认证资格条件</w:t>
      </w:r>
      <w:r>
        <w:rPr>
          <w:rFonts w:hint="eastAsia" w:ascii="宋体" w:hAnsi="宋体"/>
          <w:color w:val="000000"/>
          <w:sz w:val="24"/>
          <w:highlight w:val="none"/>
        </w:rPr>
        <w:t>；</w:t>
      </w:r>
      <w:r>
        <w:rPr>
          <w:rFonts w:hint="eastAsia" w:ascii="宋体" w:hAnsi="宋体"/>
          <w:bCs/>
          <w:iCs/>
          <w:sz w:val="24"/>
          <w:highlight w:val="none"/>
        </w:rPr>
        <w:t xml:space="preserve"> </w:t>
      </w:r>
    </w:p>
    <w:p>
      <w:pPr>
        <w:pStyle w:val="10"/>
        <w:numPr>
          <w:ilvl w:val="1"/>
          <w:numId w:val="6"/>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pStyle w:val="3"/>
        <w:bidi w:val="0"/>
        <w:rPr>
          <w:rFonts w:hint="eastAsia"/>
          <w:highlight w:val="none"/>
        </w:rPr>
      </w:pPr>
      <w:bookmarkStart w:id="103" w:name="_Toc85256254"/>
      <w:bookmarkStart w:id="104" w:name="_Toc85103629"/>
      <w:bookmarkStart w:id="105" w:name="_Toc85105518"/>
      <w:bookmarkStart w:id="106" w:name="_Toc444776338"/>
      <w:bookmarkStart w:id="107" w:name="_Toc528053022"/>
      <w:bookmarkStart w:id="108" w:name="_Toc185325632"/>
      <w:r>
        <w:rPr>
          <w:rFonts w:hint="eastAsia" w:ascii="宋体" w:hAnsi="宋体"/>
          <w:bCs/>
          <w:color w:val="000000"/>
          <w:sz w:val="24"/>
          <w:highlight w:val="none"/>
          <w:lang w:val="en-US" w:eastAsia="zh-CN"/>
        </w:rPr>
        <w:t>10</w:t>
      </w:r>
      <w:r>
        <w:rPr>
          <w:rFonts w:hint="eastAsia"/>
          <w:highlight w:val="none"/>
        </w:rPr>
        <w:t>.</w:t>
      </w:r>
      <w:r>
        <w:rPr>
          <w:rFonts w:hint="eastAsia"/>
          <w:highlight w:val="none"/>
          <w:lang w:eastAsia="zh-CN"/>
        </w:rPr>
        <w:t>3</w:t>
      </w:r>
      <w:r>
        <w:rPr>
          <w:rFonts w:hint="eastAsia"/>
          <w:highlight w:val="none"/>
        </w:rPr>
        <w:t xml:space="preserve"> 保持认证资格的条件</w:t>
      </w:r>
      <w:bookmarkEnd w:id="103"/>
      <w:bookmarkEnd w:id="104"/>
      <w:bookmarkEnd w:id="105"/>
      <w:r>
        <w:rPr>
          <w:rFonts w:hint="eastAsia"/>
          <w:highlight w:val="none"/>
        </w:rPr>
        <w:t>和程序</w:t>
      </w:r>
      <w:bookmarkEnd w:id="106"/>
      <w:bookmarkEnd w:id="107"/>
      <w:bookmarkEnd w:id="108"/>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.3.1 保持认证资格的条件</w:t>
      </w:r>
    </w:p>
    <w:p>
      <w:pPr>
        <w:numPr>
          <w:ilvl w:val="0"/>
          <w:numId w:val="8"/>
        </w:numPr>
        <w:tabs>
          <w:tab w:val="left" w:pos="720"/>
        </w:tabs>
        <w:spacing w:line="360" w:lineRule="auto"/>
        <w:ind w:left="709" w:hanging="349"/>
        <w:rPr>
          <w:rFonts w:hint="eastAsia"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获证客户持续遵守认证有关的规定，包括变更的规定；</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获证客户在认证范围内的反贿赂管理过程和活动持续满足适用的最新法律法规的要求，如发生不满足时及时采取有效的措施；</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获证客户于获证期内，认证范围内涉及的反贿赂管理活动未发生重大事故和国家检查不合格；</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hint="eastAsia" w:ascii="宋体" w:hAnsi="宋体"/>
          <w:bCs/>
          <w:i/>
          <w:i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.3.2 保持认证资格的程序</w:t>
      </w:r>
    </w:p>
    <w:p>
      <w:pPr>
        <w:numPr>
          <w:ilvl w:val="0"/>
          <w:numId w:val="9"/>
        </w:numPr>
        <w:tabs>
          <w:tab w:val="left" w:pos="720"/>
          <w:tab w:val="clear" w:pos="1050"/>
        </w:tabs>
        <w:spacing w:line="360" w:lineRule="auto"/>
        <w:ind w:left="709" w:hanging="349"/>
        <w:rPr>
          <w:rFonts w:hint="eastAsia"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pStyle w:val="3"/>
        <w:bidi w:val="0"/>
        <w:rPr>
          <w:rFonts w:hint="eastAsia"/>
          <w:highlight w:val="none"/>
          <w:lang w:eastAsia="zh-CN"/>
        </w:rPr>
      </w:pPr>
      <w:bookmarkStart w:id="109" w:name="_Toc85256255"/>
      <w:bookmarkStart w:id="110" w:name="_Toc85103630"/>
      <w:bookmarkStart w:id="111" w:name="_Toc85105519"/>
      <w:bookmarkStart w:id="112" w:name="_Toc444776339"/>
      <w:bookmarkStart w:id="113" w:name="_Toc528053023"/>
      <w:bookmarkStart w:id="114" w:name="_Toc185325633"/>
      <w:r>
        <w:rPr>
          <w:rFonts w:hint="eastAsia" w:ascii="宋体" w:hAnsi="宋体"/>
          <w:bCs/>
          <w:color w:val="000000"/>
          <w:sz w:val="24"/>
          <w:highlight w:val="none"/>
          <w:lang w:val="en-US" w:eastAsia="zh-CN"/>
        </w:rPr>
        <w:t>10</w:t>
      </w:r>
      <w:r>
        <w:rPr>
          <w:highlight w:val="none"/>
        </w:rPr>
        <w:t>.</w:t>
      </w:r>
      <w:r>
        <w:rPr>
          <w:rFonts w:hint="eastAsia"/>
          <w:highlight w:val="none"/>
          <w:lang w:eastAsia="zh-CN"/>
        </w:rPr>
        <w:t>4</w:t>
      </w:r>
      <w:r>
        <w:rPr>
          <w:rFonts w:hint="eastAsia"/>
          <w:highlight w:val="none"/>
        </w:rPr>
        <w:t xml:space="preserve"> 扩大认证范围的条件</w:t>
      </w:r>
      <w:bookmarkEnd w:id="109"/>
      <w:bookmarkEnd w:id="110"/>
      <w:bookmarkEnd w:id="111"/>
      <w:r>
        <w:rPr>
          <w:rFonts w:hint="eastAsia"/>
          <w:highlight w:val="none"/>
        </w:rPr>
        <w:t>和程序</w:t>
      </w:r>
      <w:bookmarkEnd w:id="112"/>
      <w:bookmarkEnd w:id="113"/>
      <w:bookmarkEnd w:id="114"/>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.4.1 扩大认证范围的分类</w:t>
      </w:r>
    </w:p>
    <w:p>
      <w:pPr>
        <w:numPr>
          <w:ilvl w:val="0"/>
          <w:numId w:val="10"/>
        </w:numPr>
        <w:spacing w:line="360" w:lineRule="auto"/>
        <w:rPr>
          <w:rFonts w:ascii="宋体" w:hAnsi="宋体"/>
          <w:sz w:val="24"/>
          <w:highlight w:val="none"/>
        </w:rPr>
      </w:pPr>
      <w:r>
        <w:rPr>
          <w:rFonts w:hint="eastAsia" w:ascii="宋体" w:hAnsi="宋体"/>
          <w:sz w:val="24"/>
          <w:highlight w:val="none"/>
        </w:rPr>
        <w:t>获证客户名称增加、固定分场所增加、区域或反贿赂管理单元扩大；</w:t>
      </w:r>
    </w:p>
    <w:p>
      <w:pPr>
        <w:numPr>
          <w:ilvl w:val="0"/>
          <w:numId w:val="10"/>
        </w:numPr>
        <w:spacing w:line="360" w:lineRule="auto"/>
        <w:rPr>
          <w:rFonts w:ascii="宋体" w:hAnsi="宋体"/>
          <w:sz w:val="24"/>
          <w:highlight w:val="none"/>
        </w:rPr>
      </w:pPr>
      <w:r>
        <w:rPr>
          <w:rFonts w:hint="eastAsia" w:ascii="宋体" w:hAnsi="宋体"/>
          <w:sz w:val="24"/>
          <w:highlight w:val="none"/>
        </w:rPr>
        <w:t>生产经营业务类别增加。</w:t>
      </w:r>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.4.2 扩大认证范围的条件</w:t>
      </w:r>
    </w:p>
    <w:p>
      <w:pPr>
        <w:numPr>
          <w:ilvl w:val="0"/>
          <w:numId w:val="11"/>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1"/>
        </w:numPr>
        <w:spacing w:line="360" w:lineRule="auto"/>
        <w:rPr>
          <w:rFonts w:hint="eastAsia"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1"/>
        </w:numPr>
        <w:spacing w:line="360" w:lineRule="auto"/>
        <w:rPr>
          <w:rFonts w:hint="eastAsia" w:ascii="宋体" w:hAnsi="宋体"/>
          <w:sz w:val="24"/>
          <w:highlight w:val="none"/>
        </w:rPr>
      </w:pPr>
      <w:r>
        <w:rPr>
          <w:rFonts w:hint="eastAsia" w:ascii="宋体" w:hAnsi="宋体"/>
          <w:sz w:val="24"/>
          <w:highlight w:val="none"/>
        </w:rPr>
        <w:t>国家或地方或行业有要求时，获证客户在申请扩大认证范围内的组织单元、产品、服务及其过程和活动，已满足适用的法律法规的要求；</w:t>
      </w:r>
    </w:p>
    <w:p>
      <w:pPr>
        <w:numPr>
          <w:ilvl w:val="0"/>
          <w:numId w:val="11"/>
        </w:numPr>
        <w:spacing w:line="360" w:lineRule="auto"/>
        <w:rPr>
          <w:rFonts w:hint="eastAsia"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1"/>
        </w:numPr>
        <w:spacing w:line="360" w:lineRule="auto"/>
        <w:rPr>
          <w:rFonts w:hint="eastAsia"/>
          <w:iCs/>
          <w:sz w:val="24"/>
          <w:highlight w:val="none"/>
        </w:rPr>
      </w:pPr>
      <w:r>
        <w:rPr>
          <w:rFonts w:hint="eastAsia" w:ascii="宋体" w:hAnsi="宋体"/>
          <w:sz w:val="24"/>
          <w:highlight w:val="none"/>
        </w:rPr>
        <w:t>获证客户按照认证规定缴纳补充认证费用。</w:t>
      </w:r>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.4.3 扩大认证范围的程序</w:t>
      </w:r>
    </w:p>
    <w:p>
      <w:pPr>
        <w:numPr>
          <w:ilvl w:val="0"/>
          <w:numId w:val="12"/>
        </w:numPr>
        <w:spacing w:line="360" w:lineRule="auto"/>
        <w:rPr>
          <w:rFonts w:hint="eastAsia"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2"/>
        </w:numPr>
        <w:spacing w:line="360" w:lineRule="auto"/>
        <w:rPr>
          <w:rFonts w:hint="eastAsia"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2"/>
        </w:numPr>
        <w:spacing w:line="360" w:lineRule="auto"/>
        <w:rPr>
          <w:rFonts w:hint="eastAsia"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2"/>
        </w:numPr>
        <w:spacing w:line="360" w:lineRule="auto"/>
        <w:rPr>
          <w:rFonts w:hint="eastAsia"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2"/>
        </w:numPr>
        <w:spacing w:line="360" w:lineRule="auto"/>
        <w:rPr>
          <w:rFonts w:hint="eastAsia" w:ascii="宋体" w:hAnsi="宋体"/>
          <w:sz w:val="24"/>
          <w:highlight w:val="none"/>
        </w:rPr>
      </w:pPr>
      <w:r>
        <w:rPr>
          <w:rFonts w:hint="eastAsia" w:ascii="宋体" w:hAnsi="宋体"/>
          <w:sz w:val="24"/>
          <w:highlight w:val="none"/>
        </w:rPr>
        <w:t>CQM向获证客户送交新认证证书，同时收回原证书。</w:t>
      </w:r>
    </w:p>
    <w:p>
      <w:pPr>
        <w:pStyle w:val="3"/>
        <w:bidi w:val="0"/>
        <w:rPr>
          <w:rFonts w:hint="eastAsia"/>
          <w:highlight w:val="none"/>
          <w:lang w:eastAsia="zh-CN"/>
        </w:rPr>
      </w:pPr>
      <w:bookmarkStart w:id="115" w:name="_Toc85105520"/>
      <w:bookmarkStart w:id="116" w:name="_Toc85256256"/>
      <w:bookmarkStart w:id="117" w:name="_Toc85103631"/>
      <w:bookmarkStart w:id="118" w:name="_Toc528053024"/>
      <w:bookmarkStart w:id="119" w:name="_Toc185325634"/>
      <w:bookmarkStart w:id="120" w:name="_Toc444776340"/>
      <w:r>
        <w:rPr>
          <w:rFonts w:hint="eastAsia" w:ascii="宋体" w:hAnsi="宋体"/>
          <w:bCs/>
          <w:color w:val="000000"/>
          <w:sz w:val="24"/>
          <w:highlight w:val="none"/>
          <w:lang w:val="en-US" w:eastAsia="zh-CN"/>
        </w:rPr>
        <w:t>10</w:t>
      </w:r>
      <w:r>
        <w:rPr>
          <w:rFonts w:hint="eastAsia"/>
          <w:highlight w:val="none"/>
        </w:rPr>
        <w:t>.</w:t>
      </w:r>
      <w:r>
        <w:rPr>
          <w:rFonts w:hint="eastAsia"/>
          <w:highlight w:val="none"/>
          <w:lang w:eastAsia="zh-CN"/>
        </w:rPr>
        <w:t>5</w:t>
      </w:r>
      <w:r>
        <w:rPr>
          <w:rFonts w:hint="eastAsia"/>
          <w:highlight w:val="none"/>
        </w:rPr>
        <w:t xml:space="preserve"> 缩小认证范围的条件</w:t>
      </w:r>
      <w:bookmarkEnd w:id="115"/>
      <w:bookmarkEnd w:id="116"/>
      <w:bookmarkEnd w:id="117"/>
      <w:r>
        <w:rPr>
          <w:rFonts w:hint="eastAsia"/>
          <w:highlight w:val="none"/>
        </w:rPr>
        <w:t>和程序</w:t>
      </w:r>
      <w:bookmarkEnd w:id="118"/>
      <w:bookmarkEnd w:id="119"/>
      <w:bookmarkEnd w:id="120"/>
    </w:p>
    <w:p>
      <w:pPr>
        <w:spacing w:line="360" w:lineRule="auto"/>
        <w:rPr>
          <w:rFonts w:hint="eastAsia"/>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.5.1 缩小认证范围的分类</w:t>
      </w:r>
    </w:p>
    <w:p>
      <w:pPr>
        <w:numPr>
          <w:ilvl w:val="0"/>
          <w:numId w:val="13"/>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获证客户固定分场所、区域或生产经营活动缩小；</w:t>
      </w:r>
    </w:p>
    <w:p>
      <w:pPr>
        <w:numPr>
          <w:ilvl w:val="0"/>
          <w:numId w:val="13"/>
        </w:numPr>
        <w:tabs>
          <w:tab w:val="left" w:pos="720"/>
          <w:tab w:val="clear" w:pos="1078"/>
        </w:tabs>
        <w:spacing w:line="360" w:lineRule="auto"/>
        <w:ind w:left="720"/>
        <w:rPr>
          <w:rFonts w:hint="eastAsia"/>
          <w:highlight w:val="none"/>
        </w:rPr>
      </w:pPr>
      <w:r>
        <w:rPr>
          <w:rFonts w:hint="eastAsia" w:ascii="宋体" w:hAnsi="宋体"/>
          <w:bCs/>
          <w:sz w:val="24"/>
          <w:highlight w:val="none"/>
        </w:rPr>
        <w:t>多个组织认证减少组织数量。</w:t>
      </w:r>
    </w:p>
    <w:p>
      <w:pPr>
        <w:spacing w:line="360" w:lineRule="auto"/>
        <w:rPr>
          <w:rFonts w:hint="eastAsia"/>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.5.2 缩小认证范围的条件</w:t>
      </w:r>
    </w:p>
    <w:p>
      <w:pPr>
        <w:numPr>
          <w:ilvl w:val="0"/>
          <w:numId w:val="14"/>
        </w:numPr>
        <w:tabs>
          <w:tab w:val="left" w:pos="709"/>
          <w:tab w:val="clear" w:pos="1078"/>
        </w:tabs>
        <w:spacing w:line="360" w:lineRule="auto"/>
        <w:ind w:left="720"/>
        <w:jc w:val="left"/>
        <w:rPr>
          <w:rFonts w:hint="eastAsia" w:ascii="宋体" w:hAnsi="宋体"/>
          <w:bCs/>
          <w:sz w:val="24"/>
          <w:highlight w:val="none"/>
        </w:rPr>
      </w:pPr>
      <w:r>
        <w:rPr>
          <w:rFonts w:hint="eastAsia" w:ascii="宋体" w:hAnsi="宋体"/>
          <w:bCs/>
          <w:sz w:val="24"/>
          <w:highlight w:val="none"/>
        </w:rPr>
        <w:t>获证客户认证范围内部分反贿赂管理过程或活动、区域等不再符合认证标准/规范性文件和其他要求；</w:t>
      </w:r>
    </w:p>
    <w:p>
      <w:pPr>
        <w:numPr>
          <w:ilvl w:val="0"/>
          <w:numId w:val="14"/>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获证客户不愿再继续保持认证范围内的部分反贿赂管理过程、区域等认证资格；</w:t>
      </w:r>
    </w:p>
    <w:p>
      <w:pPr>
        <w:numPr>
          <w:ilvl w:val="0"/>
          <w:numId w:val="14"/>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.5.3 缩小认证范围的程序</w:t>
      </w:r>
    </w:p>
    <w:p>
      <w:pPr>
        <w:numPr>
          <w:ilvl w:val="2"/>
          <w:numId w:val="6"/>
        </w:numPr>
        <w:spacing w:line="360" w:lineRule="auto"/>
        <w:rPr>
          <w:rFonts w:hint="eastAsia"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6"/>
        </w:numPr>
        <w:spacing w:line="360" w:lineRule="auto"/>
        <w:rPr>
          <w:rFonts w:hint="eastAsia" w:ascii="宋体" w:hAnsi="宋体"/>
          <w:sz w:val="24"/>
          <w:highlight w:val="none"/>
        </w:rPr>
      </w:pPr>
      <w:r>
        <w:rPr>
          <w:rFonts w:hint="eastAsia" w:ascii="宋体" w:hAnsi="宋体"/>
          <w:sz w:val="24"/>
          <w:highlight w:val="none"/>
        </w:rPr>
        <w:t>需要时，获证客户应与CQM修订认证合同；</w:t>
      </w:r>
    </w:p>
    <w:p>
      <w:pPr>
        <w:numPr>
          <w:ilvl w:val="2"/>
          <w:numId w:val="6"/>
        </w:numPr>
        <w:spacing w:line="360" w:lineRule="auto"/>
        <w:rPr>
          <w:rFonts w:hint="eastAsia"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pStyle w:val="3"/>
        <w:bidi w:val="0"/>
        <w:rPr>
          <w:rFonts w:hint="eastAsia"/>
          <w:highlight w:val="none"/>
        </w:rPr>
      </w:pPr>
      <w:bookmarkStart w:id="121" w:name="_Toc444776341"/>
      <w:bookmarkStart w:id="122" w:name="_Toc528053025"/>
      <w:r>
        <w:rPr>
          <w:rFonts w:hint="eastAsia" w:ascii="宋体" w:hAnsi="宋体"/>
          <w:bCs/>
          <w:color w:val="000000"/>
          <w:sz w:val="24"/>
          <w:highlight w:val="none"/>
          <w:lang w:val="en-US" w:eastAsia="zh-CN"/>
        </w:rPr>
        <w:t>10</w:t>
      </w:r>
      <w:r>
        <w:rPr>
          <w:rFonts w:hint="eastAsia"/>
          <w:highlight w:val="none"/>
        </w:rPr>
        <w:t>.</w:t>
      </w:r>
      <w:r>
        <w:rPr>
          <w:rFonts w:hint="eastAsia"/>
          <w:highlight w:val="none"/>
          <w:lang w:eastAsia="zh-CN"/>
        </w:rPr>
        <w:t>6</w:t>
      </w:r>
      <w:r>
        <w:rPr>
          <w:rFonts w:hint="eastAsia"/>
          <w:highlight w:val="none"/>
        </w:rPr>
        <w:t xml:space="preserve"> </w:t>
      </w:r>
      <w:r>
        <w:rPr>
          <w:rFonts w:hint="eastAsia"/>
          <w:highlight w:val="none"/>
          <w:lang w:eastAsia="zh-CN"/>
        </w:rPr>
        <w:t>变更认证信息的条件和</w:t>
      </w:r>
      <w:r>
        <w:rPr>
          <w:rFonts w:hint="eastAsia"/>
          <w:highlight w:val="none"/>
        </w:rPr>
        <w:t>程序</w:t>
      </w:r>
      <w:bookmarkEnd w:id="121"/>
      <w:bookmarkEnd w:id="122"/>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hint="eastAsia"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hint="eastAsia" w:ascii="宋体" w:hAnsi="宋体"/>
          <w:sz w:val="24"/>
          <w:highlight w:val="none"/>
        </w:rPr>
      </w:pPr>
      <w:r>
        <w:rPr>
          <w:rFonts w:hint="eastAsia" w:ascii="宋体" w:hAnsi="宋体"/>
          <w:sz w:val="24"/>
          <w:highlight w:val="none"/>
        </w:rPr>
        <w:t>在认证证书有效内，获证客户因信息发生变更，导致与认证证书信息不一致时，应予以更新。</w:t>
      </w:r>
    </w:p>
    <w:p>
      <w:pPr>
        <w:spacing w:line="360" w:lineRule="auto"/>
        <w:rPr>
          <w:rFonts w:hint="eastAsia"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.6.1.2变更认证信息的分类：</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获证客户名称、住所变更；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认证地址变更；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地名变更；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企业人数变更，证书编号变更；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证书范围中的生产经营管理活动的变更。</w:t>
      </w:r>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.6.2变更认证信息的程序</w:t>
      </w:r>
    </w:p>
    <w:p>
      <w:pPr>
        <w:spacing w:line="360" w:lineRule="auto"/>
        <w:rPr>
          <w:rFonts w:hint="eastAsia"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hint="eastAsia"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6"/>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6"/>
        </w:numPr>
        <w:spacing w:line="360" w:lineRule="auto"/>
        <w:ind w:left="851" w:hanging="425"/>
        <w:rPr>
          <w:rFonts w:hint="eastAsia"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6"/>
        </w:numPr>
        <w:spacing w:line="360" w:lineRule="auto"/>
        <w:ind w:left="851" w:hanging="425"/>
        <w:rPr>
          <w:rFonts w:hint="eastAsia"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6"/>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hint="eastAsia"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.6.2.1.2认证地址变更需要提交的资料</w:t>
      </w:r>
    </w:p>
    <w:p>
      <w:pPr>
        <w:numPr>
          <w:ilvl w:val="0"/>
          <w:numId w:val="17"/>
        </w:numPr>
        <w:spacing w:line="360" w:lineRule="auto"/>
        <w:ind w:left="851" w:hanging="425"/>
        <w:rPr>
          <w:rFonts w:hint="eastAsia" w:ascii="宋体" w:hAnsi="宋体"/>
          <w:sz w:val="24"/>
          <w:highlight w:val="none"/>
        </w:rPr>
      </w:pPr>
      <w:r>
        <w:rPr>
          <w:rFonts w:hint="eastAsia" w:ascii="宋体" w:hAnsi="宋体"/>
          <w:sz w:val="24"/>
          <w:highlight w:val="none"/>
        </w:rPr>
        <w:t>获证客户的书面变更申请；</w:t>
      </w:r>
    </w:p>
    <w:p>
      <w:pPr>
        <w:numPr>
          <w:ilvl w:val="0"/>
          <w:numId w:val="17"/>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w:t>
      </w:r>
    </w:p>
    <w:p>
      <w:pPr>
        <w:spacing w:line="360" w:lineRule="auto"/>
        <w:rPr>
          <w:rFonts w:hint="eastAsia"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.6.2.1.3 地名变更需要提交的资料</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获证客户的书面变更申请；</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当地政府的相关证明；</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hint="eastAsia"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hint="eastAsia"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hint="eastAsia"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.6.2.1.5 证书范围中反贿赂管理活动的变更需要提交的资料</w:t>
      </w:r>
    </w:p>
    <w:p>
      <w:pPr>
        <w:numPr>
          <w:ilvl w:val="1"/>
          <w:numId w:val="19"/>
        </w:numPr>
        <w:spacing w:line="360" w:lineRule="auto"/>
        <w:ind w:left="709" w:hanging="283"/>
        <w:rPr>
          <w:rFonts w:hint="eastAsia"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1"/>
          <w:numId w:val="19"/>
        </w:numPr>
        <w:spacing w:line="360" w:lineRule="auto"/>
        <w:ind w:left="709" w:hanging="283"/>
        <w:rPr>
          <w:rFonts w:hint="eastAsia" w:ascii="宋体" w:hAnsi="宋体"/>
          <w:color w:val="000000"/>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hint="eastAsia"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.6.2.2 认证信息变更的办理流程</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获证客户根据</w:t>
      </w:r>
      <w:r>
        <w:rPr>
          <w:rFonts w:hint="eastAsia" w:ascii="宋体" w:hAnsi="宋体"/>
          <w:bCs/>
          <w:color w:val="000000"/>
          <w:sz w:val="24"/>
          <w:highlight w:val="none"/>
          <w:lang w:val="en-US" w:eastAsia="zh-CN"/>
        </w:rPr>
        <w:t>10</w:t>
      </w:r>
      <w:r>
        <w:rPr>
          <w:rFonts w:hint="eastAsia" w:ascii="宋体" w:hAnsi="宋体" w:cs="宋体"/>
          <w:sz w:val="24"/>
          <w:highlight w:val="none"/>
        </w:rPr>
        <w:t>.6.1要求向CQM正式提交满足</w:t>
      </w:r>
      <w:r>
        <w:rPr>
          <w:rFonts w:hint="eastAsia" w:ascii="宋体" w:hAnsi="宋体"/>
          <w:bCs/>
          <w:color w:val="000000"/>
          <w:sz w:val="24"/>
          <w:highlight w:val="none"/>
          <w:lang w:val="en-US" w:eastAsia="zh-CN"/>
        </w:rPr>
        <w:t>10</w:t>
      </w:r>
      <w:r>
        <w:rPr>
          <w:rFonts w:hint="eastAsia" w:ascii="宋体" w:hAnsi="宋体" w:cs="宋体"/>
          <w:sz w:val="24"/>
          <w:highlight w:val="none"/>
        </w:rPr>
        <w:t>.6.2.1要求的申请和相关文件资料；</w:t>
      </w:r>
    </w:p>
    <w:p>
      <w:pPr>
        <w:numPr>
          <w:ilvl w:val="0"/>
          <w:numId w:val="20"/>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需要时，获证客户应接受CQM的审核；</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需要时，收回原认证证书，换发认证证书或附件，认证证书的有效期保持不变。</w:t>
      </w:r>
    </w:p>
    <w:p>
      <w:pPr>
        <w:pStyle w:val="3"/>
        <w:bidi w:val="0"/>
        <w:rPr>
          <w:rFonts w:hint="eastAsia"/>
          <w:highlight w:val="none"/>
        </w:rPr>
      </w:pPr>
      <w:bookmarkStart w:id="123" w:name="_Toc85103632"/>
      <w:bookmarkStart w:id="124" w:name="_Toc85105521"/>
      <w:bookmarkStart w:id="125" w:name="_Toc85256257"/>
      <w:bookmarkStart w:id="126" w:name="_Toc444776342"/>
      <w:bookmarkStart w:id="127" w:name="_Toc185325635"/>
      <w:bookmarkStart w:id="128" w:name="_Toc528053026"/>
      <w:r>
        <w:rPr>
          <w:rFonts w:hint="eastAsia" w:ascii="宋体" w:hAnsi="宋体"/>
          <w:bCs/>
          <w:color w:val="000000"/>
          <w:sz w:val="24"/>
          <w:highlight w:val="none"/>
          <w:lang w:val="en-US" w:eastAsia="zh-CN"/>
        </w:rPr>
        <w:t>10</w:t>
      </w:r>
      <w:r>
        <w:rPr>
          <w:rFonts w:hint="eastAsia"/>
          <w:highlight w:val="none"/>
        </w:rPr>
        <w:t>.</w:t>
      </w:r>
      <w:r>
        <w:rPr>
          <w:rFonts w:hint="eastAsia"/>
          <w:highlight w:val="none"/>
          <w:lang w:eastAsia="zh-CN"/>
        </w:rPr>
        <w:t>7</w:t>
      </w:r>
      <w:r>
        <w:rPr>
          <w:rFonts w:hint="eastAsia"/>
          <w:highlight w:val="none"/>
        </w:rPr>
        <w:t xml:space="preserve"> 暂停认证资格的条件</w:t>
      </w:r>
      <w:bookmarkEnd w:id="123"/>
      <w:bookmarkEnd w:id="124"/>
      <w:bookmarkEnd w:id="125"/>
      <w:r>
        <w:rPr>
          <w:rFonts w:hint="eastAsia"/>
          <w:highlight w:val="none"/>
        </w:rPr>
        <w:t>和程序</w:t>
      </w:r>
      <w:bookmarkEnd w:id="126"/>
      <w:bookmarkEnd w:id="127"/>
      <w:bookmarkEnd w:id="128"/>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hint="eastAsia"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rPr>
        <w:t>--获证客户管理体系持续或严重不满足认证要求，包括对体系运行的有效性要求。</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a)</w:t>
      </w:r>
      <w:r>
        <w:rPr>
          <w:rFonts w:ascii="宋体" w:hAnsi="宋体"/>
          <w:bCs/>
          <w:sz w:val="24"/>
          <w:highlight w:val="none"/>
        </w:rPr>
        <w:t>获证客户的管理体系发生重大变更，不能持续符合认证标准/规范性文件要求；</w:t>
      </w:r>
    </w:p>
    <w:p>
      <w:pPr>
        <w:spacing w:line="360" w:lineRule="auto"/>
        <w:ind w:left="359" w:leftChars="171"/>
        <w:rPr>
          <w:rFonts w:hint="eastAsia" w:ascii="宋体" w:hAnsi="宋体"/>
          <w:bCs/>
          <w:sz w:val="24"/>
          <w:highlight w:val="none"/>
        </w:rPr>
      </w:pPr>
      <w:r>
        <w:rPr>
          <w:rFonts w:hint="eastAsia" w:ascii="宋体" w:hAnsi="宋体"/>
          <w:bCs/>
          <w:sz w:val="24"/>
          <w:highlight w:val="none"/>
        </w:rPr>
        <w:t>b)获证客户</w:t>
      </w:r>
      <w:r>
        <w:rPr>
          <w:rFonts w:ascii="宋体" w:hAnsi="宋体"/>
          <w:bCs/>
          <w:sz w:val="24"/>
          <w:highlight w:val="none"/>
        </w:rPr>
        <w:t>监督审核期间发生严重影响体系运行的情况；</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c)</w:t>
      </w:r>
      <w:r>
        <w:rPr>
          <w:rFonts w:ascii="宋体" w:hAnsi="宋体"/>
          <w:bCs/>
          <w:sz w:val="24"/>
          <w:highlight w:val="none"/>
        </w:rPr>
        <w:t>获证客户在认证范围内的组织单元</w:t>
      </w:r>
      <w:r>
        <w:rPr>
          <w:rFonts w:hint="eastAsia" w:ascii="宋体" w:hAnsi="宋体"/>
          <w:bCs/>
          <w:sz w:val="24"/>
          <w:highlight w:val="none"/>
        </w:rPr>
        <w:t>、反贿赂管理</w:t>
      </w:r>
      <w:r>
        <w:rPr>
          <w:rFonts w:ascii="宋体" w:hAnsi="宋体"/>
          <w:bCs/>
          <w:sz w:val="24"/>
          <w:highlight w:val="none"/>
        </w:rPr>
        <w:t>过程</w:t>
      </w:r>
      <w:r>
        <w:rPr>
          <w:rFonts w:hint="eastAsia" w:ascii="宋体" w:hAnsi="宋体"/>
          <w:bCs/>
          <w:sz w:val="24"/>
          <w:highlight w:val="none"/>
        </w:rPr>
        <w:t>或</w:t>
      </w:r>
      <w:r>
        <w:rPr>
          <w:rFonts w:ascii="宋体" w:hAnsi="宋体"/>
          <w:bCs/>
          <w:sz w:val="24"/>
          <w:highlight w:val="none"/>
        </w:rPr>
        <w:t>活动不能满足适用的最新法律法规和标准的要求，并未采取措施或措施无效；</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d)</w:t>
      </w:r>
      <w:r>
        <w:rPr>
          <w:rFonts w:ascii="宋体" w:hAnsi="宋体"/>
          <w:bCs/>
          <w:sz w:val="24"/>
          <w:highlight w:val="none"/>
        </w:rPr>
        <w:t>获证客户未按照认证要求的变更做出相应调整，或调整不满足变更要求</w:t>
      </w:r>
      <w:r>
        <w:rPr>
          <w:rFonts w:hint="eastAsia" w:ascii="宋体" w:hAnsi="宋体"/>
          <w:bCs/>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获证客户不承担、履行认证合同约定的责任和义务。</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a)获证客户未能在规定的期限内接受监督或再认证审核；</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获证客户未履行与CQM签署认证合同中规定的责任和义务，并对保持认证资格产生重大影响；</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获证客户未按照认证合同规定缴纳认证费用</w:t>
      </w:r>
      <w:r>
        <w:rPr>
          <w:rFonts w:hint="eastAsia" w:ascii="宋体" w:hAnsi="宋体"/>
          <w:bCs/>
          <w:iCs/>
          <w:sz w:val="24"/>
          <w:highlight w:val="none"/>
        </w:rPr>
        <w:t>；</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获证客户在获证期间发生误用认证证书和认证标志，并未能及时有效地采取纠正和纠正措施，以将产生的影响降至最少程度</w:t>
      </w:r>
      <w:r>
        <w:rPr>
          <w:rFonts w:hint="eastAsia" w:ascii="宋体" w:hAnsi="宋体"/>
          <w:bCs/>
          <w:iCs/>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获证客户在证书有效期间受到相关执法监管部门处罚。</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a) 获证客户未按要求对信息进行通报。</w:t>
      </w:r>
    </w:p>
    <w:p>
      <w:pPr>
        <w:pStyle w:val="10"/>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获证客户被地方认证监管部门发现体系运行存在问题。</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获证客户于获证期间在认证范围内发生国家</w:t>
      </w:r>
      <w:r>
        <w:rPr>
          <w:rFonts w:hint="eastAsia" w:ascii="宋体" w:hAnsi="宋体"/>
          <w:bCs/>
          <w:iCs/>
          <w:sz w:val="24"/>
          <w:highlight w:val="none"/>
        </w:rPr>
        <w:t>抽</w:t>
      </w:r>
      <w:r>
        <w:rPr>
          <w:rFonts w:ascii="宋体" w:hAnsi="宋体"/>
          <w:bCs/>
          <w:iCs/>
          <w:sz w:val="24"/>
          <w:highlight w:val="none"/>
        </w:rPr>
        <w:t>检不合格，并未查明原因和采取补救措施</w:t>
      </w:r>
      <w:r>
        <w:rPr>
          <w:rFonts w:hint="eastAsia" w:ascii="宋体" w:hAnsi="宋体"/>
          <w:bCs/>
          <w:iCs/>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获证客户持有的行政许可证明、资质证书等过期失效，重新提交的申请已被受理但尚未换证。</w:t>
      </w:r>
    </w:p>
    <w:p>
      <w:pPr>
        <w:pStyle w:val="10"/>
        <w:spacing w:after="0"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获证客户的法律地位、资质不再符合国家的最新要求；</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获证客户的认证范围已不在现行有效的法律地位文件和资质规定的范围内，但仍有可能在短期内符合规定要求</w:t>
      </w:r>
      <w:r>
        <w:rPr>
          <w:rFonts w:hint="eastAsia" w:ascii="宋体" w:hAnsi="宋体"/>
          <w:bCs/>
          <w:iCs/>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获证客户主动请求暂停。</w:t>
      </w:r>
    </w:p>
    <w:p>
      <w:pPr>
        <w:pStyle w:val="10"/>
        <w:spacing w:after="0"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获证客户发生了</w:t>
      </w:r>
      <w:r>
        <w:rPr>
          <w:rFonts w:hint="eastAsia" w:ascii="宋体" w:hAnsi="宋体"/>
          <w:bCs/>
          <w:iCs/>
          <w:sz w:val="24"/>
          <w:highlight w:val="none"/>
          <w:lang w:eastAsia="zh-CN"/>
        </w:rPr>
        <w:t>由反贿赂管理引起的</w:t>
      </w:r>
      <w:r>
        <w:rPr>
          <w:rFonts w:hint="eastAsia" w:ascii="宋体" w:hAnsi="宋体"/>
          <w:bCs/>
          <w:iCs/>
          <w:sz w:val="24"/>
          <w:highlight w:val="none"/>
        </w:rPr>
        <w:t>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10"/>
        <w:spacing w:after="0" w:line="360" w:lineRule="auto"/>
        <w:rPr>
          <w:rFonts w:hint="eastAsia" w:ascii="宋体" w:hAnsi="宋体"/>
          <w:bCs/>
          <w:iCs/>
          <w:sz w:val="24"/>
          <w:highlight w:val="none"/>
          <w:lang w:eastAsia="zh-CN"/>
        </w:rPr>
      </w:pPr>
      <w:r>
        <w:rPr>
          <w:rFonts w:hint="eastAsia" w:ascii="宋体" w:hAnsi="宋体"/>
          <w:bCs/>
          <w:iCs/>
          <w:sz w:val="24"/>
          <w:highlight w:val="none"/>
        </w:rPr>
        <w:t>a)</w:t>
      </w:r>
      <w:r>
        <w:rPr>
          <w:rFonts w:ascii="宋体" w:hAnsi="宋体"/>
          <w:bCs/>
          <w:iCs/>
          <w:sz w:val="24"/>
          <w:highlight w:val="none"/>
        </w:rPr>
        <w:t>获证客户于获证期间在认证范围内发生重大事故</w:t>
      </w:r>
      <w:r>
        <w:rPr>
          <w:rFonts w:hint="eastAsia" w:ascii="宋体" w:hAnsi="宋体"/>
          <w:bCs/>
          <w:iCs/>
          <w:sz w:val="24"/>
          <w:highlight w:val="none"/>
        </w:rPr>
        <w:t>被媒体曝光、或</w:t>
      </w:r>
      <w:r>
        <w:rPr>
          <w:rFonts w:ascii="宋体" w:hAnsi="宋体"/>
          <w:bCs/>
          <w:iCs/>
          <w:sz w:val="24"/>
          <w:highlight w:val="none"/>
        </w:rPr>
        <w:t>未查明原因和采取补救措施</w:t>
      </w:r>
      <w:r>
        <w:rPr>
          <w:rFonts w:hint="eastAsia" w:ascii="宋体" w:hAnsi="宋体"/>
          <w:bCs/>
          <w:iCs/>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sz w:val="24"/>
          <w:highlight w:val="none"/>
          <w:lang w:eastAsia="zh-CN"/>
        </w:rPr>
        <w:t xml:space="preserve"> </w:t>
      </w:r>
      <w:r>
        <w:rPr>
          <w:rFonts w:hint="eastAsia" w:ascii="宋体" w:hAnsi="宋体"/>
          <w:bCs/>
          <w:sz w:val="24"/>
          <w:highlight w:val="none"/>
        </w:rPr>
        <w:t>--其他原因需要暂停证书。</w:t>
      </w:r>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.7.2 暂停认证资格的程序</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必要时，CQM与获证客户沟通，核实证据；</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认证处置决定通知书</w:t>
      </w:r>
      <w:r>
        <w:rPr>
          <w:rFonts w:ascii="宋体" w:hAnsi="宋体"/>
          <w:bCs/>
          <w:sz w:val="24"/>
          <w:highlight w:val="none"/>
        </w:rPr>
        <w:t>》</w:t>
      </w:r>
      <w:r>
        <w:rPr>
          <w:rFonts w:hint="eastAsia" w:ascii="宋体" w:hAnsi="宋体" w:cs="宋体"/>
          <w:sz w:val="24"/>
          <w:highlight w:val="none"/>
        </w:rPr>
        <w:t>并公告；</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获证客户按照《管理体系认证证书和认证标志、认可标识使用规则</w:t>
      </w:r>
      <w:r>
        <w:rPr>
          <w:rFonts w:ascii="宋体" w:hAnsi="宋体" w:cs="宋体"/>
          <w:sz w:val="24"/>
          <w:highlight w:val="none"/>
        </w:rPr>
        <w:t>》</w:t>
      </w:r>
      <w:r>
        <w:rPr>
          <w:rFonts w:hint="eastAsia" w:ascii="宋体" w:hAnsi="宋体" w:cs="宋体"/>
          <w:sz w:val="24"/>
          <w:highlight w:val="none"/>
        </w:rPr>
        <w:t>停止使用认证证书和认证标志,</w:t>
      </w:r>
      <w:r>
        <w:rPr>
          <w:rFonts w:hint="eastAsia" w:ascii="宋体" w:hAnsi="宋体"/>
          <w:bCs/>
          <w:sz w:val="24"/>
          <w:highlight w:val="none"/>
        </w:rPr>
        <w:t xml:space="preserve"> 在暂停期间，客户的管理体系认证暂时无效</w:t>
      </w:r>
      <w:r>
        <w:rPr>
          <w:rFonts w:hint="eastAsia" w:ascii="宋体" w:hAnsi="宋体" w:cs="宋体"/>
          <w:sz w:val="24"/>
          <w:highlight w:val="none"/>
        </w:rPr>
        <w:t>。</w:t>
      </w:r>
    </w:p>
    <w:p>
      <w:pPr>
        <w:pStyle w:val="3"/>
        <w:bidi w:val="0"/>
        <w:rPr>
          <w:rFonts w:hint="eastAsia"/>
          <w:highlight w:val="none"/>
        </w:rPr>
      </w:pPr>
      <w:bookmarkStart w:id="129" w:name="_Toc85256258"/>
      <w:bookmarkStart w:id="130" w:name="_Toc85105522"/>
      <w:bookmarkStart w:id="131" w:name="_Toc85103633"/>
      <w:bookmarkStart w:id="132" w:name="_Toc185325636"/>
      <w:bookmarkStart w:id="133" w:name="_Toc528053027"/>
      <w:bookmarkStart w:id="134" w:name="_Toc444776343"/>
      <w:r>
        <w:rPr>
          <w:rFonts w:hint="eastAsia" w:ascii="宋体" w:hAnsi="宋体"/>
          <w:bCs/>
          <w:color w:val="000000"/>
          <w:sz w:val="24"/>
          <w:highlight w:val="none"/>
          <w:lang w:val="en-US" w:eastAsia="zh-CN"/>
        </w:rPr>
        <w:t>10</w:t>
      </w:r>
      <w:r>
        <w:rPr>
          <w:rFonts w:hint="eastAsia"/>
          <w:highlight w:val="none"/>
        </w:rPr>
        <w:t>.</w:t>
      </w:r>
      <w:r>
        <w:rPr>
          <w:rFonts w:hint="eastAsia"/>
          <w:highlight w:val="none"/>
          <w:lang w:eastAsia="zh-CN"/>
        </w:rPr>
        <w:t>8</w:t>
      </w:r>
      <w:r>
        <w:rPr>
          <w:rFonts w:hint="eastAsia"/>
          <w:highlight w:val="none"/>
        </w:rPr>
        <w:t xml:space="preserve"> 恢复认证资格的条件</w:t>
      </w:r>
      <w:bookmarkEnd w:id="129"/>
      <w:bookmarkEnd w:id="130"/>
      <w:bookmarkEnd w:id="131"/>
      <w:r>
        <w:rPr>
          <w:rFonts w:hint="eastAsia"/>
          <w:highlight w:val="none"/>
        </w:rPr>
        <w:t>和程序</w:t>
      </w:r>
      <w:bookmarkEnd w:id="132"/>
      <w:bookmarkEnd w:id="133"/>
      <w:bookmarkEnd w:id="134"/>
    </w:p>
    <w:p>
      <w:pPr>
        <w:spacing w:line="360" w:lineRule="auto"/>
        <w:rPr>
          <w:rFonts w:hint="eastAsia"/>
          <w:bCs/>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hint="eastAsia"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hint="eastAsia"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.8.2 恢复认证资格的程序</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p>
      <w:pPr>
        <w:pStyle w:val="3"/>
        <w:bidi w:val="0"/>
        <w:rPr>
          <w:rFonts w:hint="eastAsia"/>
          <w:highlight w:val="none"/>
        </w:rPr>
      </w:pPr>
      <w:bookmarkStart w:id="135" w:name="_Toc85105524"/>
      <w:bookmarkStart w:id="136" w:name="_Toc85103635"/>
      <w:bookmarkStart w:id="137" w:name="_Toc85256260"/>
      <w:bookmarkStart w:id="138" w:name="_Toc528053028"/>
      <w:bookmarkStart w:id="139" w:name="_Toc185325638"/>
      <w:bookmarkStart w:id="140" w:name="_Toc444776345"/>
      <w:r>
        <w:rPr>
          <w:rFonts w:hint="eastAsia"/>
          <w:highlight w:val="none"/>
          <w:lang w:val="en-US" w:eastAsia="zh-CN"/>
        </w:rPr>
        <w:t>10</w:t>
      </w:r>
      <w:r>
        <w:rPr>
          <w:rFonts w:hint="eastAsia"/>
          <w:highlight w:val="none"/>
        </w:rPr>
        <w:t>.</w:t>
      </w:r>
      <w:r>
        <w:rPr>
          <w:rFonts w:hint="eastAsia"/>
          <w:highlight w:val="none"/>
          <w:lang w:eastAsia="zh-CN"/>
        </w:rPr>
        <w:t>9</w:t>
      </w:r>
      <w:r>
        <w:rPr>
          <w:rFonts w:hint="eastAsia"/>
          <w:highlight w:val="none"/>
        </w:rPr>
        <w:t xml:space="preserve"> 撤销认证资格的条件</w:t>
      </w:r>
      <w:bookmarkEnd w:id="135"/>
      <w:bookmarkEnd w:id="136"/>
      <w:bookmarkEnd w:id="137"/>
      <w:r>
        <w:rPr>
          <w:rFonts w:hint="eastAsia"/>
          <w:highlight w:val="none"/>
        </w:rPr>
        <w:t>和程序</w:t>
      </w:r>
      <w:bookmarkEnd w:id="138"/>
      <w:bookmarkEnd w:id="139"/>
      <w:bookmarkEnd w:id="140"/>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hint="eastAsia"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获证客户审核未通过。</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获证客户被注销或撤销法律地位证明文件。</w:t>
      </w:r>
    </w:p>
    <w:p>
      <w:pPr>
        <w:spacing w:line="360" w:lineRule="auto"/>
        <w:ind w:firstLine="240" w:firstLineChars="10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获证客户的法律地位、资质不再符合国家的最新要求；</w:t>
      </w:r>
    </w:p>
    <w:p>
      <w:pPr>
        <w:pStyle w:val="10"/>
        <w:spacing w:after="0"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获证客户拒绝配合认证监管部门实施的监督检查，或者对有关事项的询问和调查提供了虚假材料或信息。</w:t>
      </w:r>
    </w:p>
    <w:p>
      <w:pPr>
        <w:pStyle w:val="10"/>
        <w:spacing w:after="0" w:line="360" w:lineRule="auto"/>
        <w:ind w:left="0" w:leftChars="0" w:firstLine="120" w:firstLineChars="50"/>
        <w:rPr>
          <w:rFonts w:hint="eastAsia" w:ascii="宋体" w:hAnsi="宋体"/>
          <w:bCs/>
          <w:iCs/>
          <w:sz w:val="24"/>
          <w:highlight w:val="none"/>
          <w:lang w:eastAsia="zh-CN"/>
        </w:rPr>
      </w:pPr>
      <w:r>
        <w:rPr>
          <w:rFonts w:hint="eastAsia" w:ascii="宋体" w:hAnsi="宋体"/>
          <w:bCs/>
          <w:iCs/>
          <w:sz w:val="24"/>
          <w:highlight w:val="none"/>
          <w:lang w:eastAsia="zh-CN"/>
        </w:rPr>
        <w:t>a）</w:t>
      </w:r>
      <w:r>
        <w:rPr>
          <w:rFonts w:hint="eastAsia" w:ascii="宋体" w:hAnsi="宋体"/>
          <w:color w:val="000000"/>
          <w:sz w:val="24"/>
          <w:highlight w:val="none"/>
          <w:lang w:val="en-US" w:eastAsia="zh-CN"/>
        </w:rPr>
        <w:t>被国家行政主管部门列入信用严重失信企业名单。</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获证客户出现</w:t>
      </w:r>
      <w:r>
        <w:rPr>
          <w:rFonts w:hint="eastAsia" w:ascii="宋体" w:hAnsi="宋体"/>
          <w:bCs/>
          <w:iCs/>
          <w:sz w:val="24"/>
          <w:highlight w:val="none"/>
          <w:lang w:eastAsia="zh-CN"/>
        </w:rPr>
        <w:t>由反贿赂管理引起的</w:t>
      </w:r>
      <w:r>
        <w:rPr>
          <w:rFonts w:hint="eastAsia" w:ascii="宋体" w:hAnsi="宋体"/>
          <w:bCs/>
          <w:iCs/>
          <w:sz w:val="24"/>
          <w:highlight w:val="none"/>
        </w:rPr>
        <w:t>重大事故等，经执法监管部门确认是获证客户违规造成。</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获证客户于获证期间在认证范围内发生国家</w:t>
      </w:r>
      <w:r>
        <w:rPr>
          <w:rFonts w:hint="eastAsia" w:ascii="宋体" w:hAnsi="宋体"/>
          <w:color w:val="000000"/>
          <w:sz w:val="24"/>
          <w:highlight w:val="none"/>
        </w:rPr>
        <w:t>抽</w:t>
      </w:r>
      <w:r>
        <w:rPr>
          <w:rFonts w:ascii="宋体" w:hAnsi="宋体"/>
          <w:color w:val="000000"/>
          <w:sz w:val="24"/>
          <w:highlight w:val="none"/>
        </w:rPr>
        <w:t>检不合格，并造成严重影响</w:t>
      </w:r>
      <w:r>
        <w:rPr>
          <w:rFonts w:hint="eastAsia" w:ascii="宋体" w:hAnsi="宋体"/>
          <w:color w:val="000000"/>
          <w:sz w:val="24"/>
          <w:highlight w:val="none"/>
        </w:rPr>
        <w:t>。</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b）拒绝接受国家行政主管部门监督抽查的。</w:t>
      </w:r>
    </w:p>
    <w:p>
      <w:pPr>
        <w:pStyle w:val="10"/>
        <w:spacing w:after="0"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获证客户在证书有效期间有其他严重违反法律法规行为，受到相关执法监管部门处罚。</w:t>
      </w:r>
    </w:p>
    <w:p>
      <w:pPr>
        <w:pStyle w:val="10"/>
        <w:spacing w:after="0"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获证客户暂停认证证书的期限已满但导致暂停的问题未得到解决或纠正（包括持有的行政许可证明、资质证书等已经过期失效但申请未获批准）。</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获证客户没有运行管理体系或者已不具备运行条件。</w:t>
      </w:r>
    </w:p>
    <w:p>
      <w:pPr>
        <w:pStyle w:val="10"/>
        <w:spacing w:after="0"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)获证客户在认证范围内的管理体系发生重大变更，未向CQM通报，并在短期内无法满足认证要求；</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获证客户体制变更后原管理体系已不再适宜；</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c) 获证客户不再</w:t>
      </w:r>
      <w:r>
        <w:rPr>
          <w:rFonts w:hint="eastAsia" w:ascii="宋体" w:hAnsi="宋体"/>
          <w:bCs/>
          <w:iCs/>
          <w:sz w:val="24"/>
          <w:highlight w:val="none"/>
          <w:lang w:eastAsia="zh-CN"/>
        </w:rPr>
        <w:t>从事</w:t>
      </w:r>
      <w:r>
        <w:rPr>
          <w:rFonts w:hint="eastAsia" w:ascii="宋体" w:hAnsi="宋体"/>
          <w:bCs/>
          <w:iCs/>
          <w:sz w:val="24"/>
          <w:highlight w:val="none"/>
        </w:rPr>
        <w:t>体系覆盖内产品</w:t>
      </w:r>
      <w:r>
        <w:rPr>
          <w:rFonts w:hint="eastAsia" w:ascii="宋体" w:hAnsi="宋体"/>
          <w:bCs/>
          <w:iCs/>
          <w:sz w:val="24"/>
          <w:highlight w:val="none"/>
          <w:lang w:eastAsia="zh-CN"/>
        </w:rPr>
        <w:t>或服务的经营活动</w:t>
      </w:r>
      <w:r>
        <w:rPr>
          <w:rFonts w:hint="eastAsia" w:ascii="宋体" w:hAnsi="宋体"/>
          <w:bCs/>
          <w:iCs/>
          <w:sz w:val="24"/>
          <w:highlight w:val="none"/>
        </w:rPr>
        <w:t>；</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 xml:space="preserve">d) </w:t>
      </w:r>
      <w:r>
        <w:rPr>
          <w:rFonts w:ascii="宋体" w:hAnsi="宋体"/>
          <w:bCs/>
          <w:iCs/>
          <w:sz w:val="24"/>
          <w:highlight w:val="none"/>
        </w:rPr>
        <w:t>获证客户在认证范围内的组织单元、</w:t>
      </w:r>
      <w:r>
        <w:rPr>
          <w:rFonts w:hint="eastAsia" w:ascii="宋体" w:hAnsi="宋体"/>
          <w:bCs/>
          <w:iCs/>
          <w:sz w:val="24"/>
          <w:highlight w:val="none"/>
          <w:lang w:eastAsia="zh-CN"/>
        </w:rPr>
        <w:t>反贿赂管理</w:t>
      </w:r>
      <w:r>
        <w:rPr>
          <w:rFonts w:ascii="宋体" w:hAnsi="宋体"/>
          <w:bCs/>
          <w:iCs/>
          <w:sz w:val="24"/>
          <w:highlight w:val="none"/>
        </w:rPr>
        <w:t>过程</w:t>
      </w:r>
      <w:r>
        <w:rPr>
          <w:rFonts w:hint="eastAsia" w:ascii="宋体" w:hAnsi="宋体"/>
          <w:bCs/>
          <w:iCs/>
          <w:sz w:val="24"/>
          <w:highlight w:val="none"/>
          <w:lang w:eastAsia="zh-CN"/>
        </w:rPr>
        <w:t>或</w:t>
      </w:r>
      <w:r>
        <w:rPr>
          <w:rFonts w:ascii="宋体" w:hAnsi="宋体"/>
          <w:bCs/>
          <w:iCs/>
          <w:sz w:val="24"/>
          <w:highlight w:val="none"/>
        </w:rPr>
        <w:t>活动严重不能满足适用的最新法律法规和标准的要求，并在短期内无法采取措施或采取措施无效的；</w:t>
      </w:r>
    </w:p>
    <w:p>
      <w:pPr>
        <w:pStyle w:val="10"/>
        <w:spacing w:after="0" w:line="360" w:lineRule="auto"/>
        <w:rPr>
          <w:rFonts w:hint="eastAsia" w:ascii="宋体" w:hAnsi="宋体"/>
          <w:bCs/>
          <w:iCs/>
          <w:sz w:val="24"/>
          <w:highlight w:val="none"/>
          <w:lang w:eastAsia="zh-CN"/>
        </w:rPr>
      </w:pPr>
      <w:r>
        <w:rPr>
          <w:rFonts w:hint="eastAsia" w:ascii="宋体" w:hAnsi="宋体"/>
          <w:bCs/>
          <w:iCs/>
          <w:sz w:val="24"/>
          <w:highlight w:val="none"/>
        </w:rPr>
        <w:t>e</w:t>
      </w:r>
      <w:r>
        <w:rPr>
          <w:rFonts w:ascii="宋体" w:hAnsi="宋体"/>
          <w:bCs/>
          <w:iCs/>
          <w:sz w:val="24"/>
          <w:highlight w:val="none"/>
        </w:rPr>
        <w:t>)获证客户</w:t>
      </w:r>
      <w:r>
        <w:rPr>
          <w:rFonts w:hint="eastAsia" w:ascii="宋体" w:hAnsi="宋体"/>
          <w:bCs/>
          <w:iCs/>
          <w:sz w:val="24"/>
          <w:highlight w:val="none"/>
        </w:rPr>
        <w:t>停业或关闭</w:t>
      </w:r>
      <w:r>
        <w:rPr>
          <w:rFonts w:ascii="宋体" w:hAnsi="宋体"/>
          <w:bCs/>
          <w:iCs/>
          <w:sz w:val="24"/>
          <w:highlight w:val="none"/>
        </w:rPr>
        <w:t>的</w:t>
      </w:r>
      <w:r>
        <w:rPr>
          <w:rFonts w:hint="eastAsia" w:ascii="宋体" w:hAnsi="宋体"/>
          <w:bCs/>
          <w:iCs/>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获证客户不按相关规定正确引用和宣传获得的认证信息，造成严重影响或后果，或者认证机构已要求其纠正但超过</w:t>
      </w:r>
      <w:r>
        <w:rPr>
          <w:rFonts w:hint="eastAsia" w:ascii="宋体" w:hAnsi="宋体"/>
          <w:bCs/>
          <w:iCs/>
          <w:sz w:val="24"/>
          <w:highlight w:val="none"/>
          <w:lang w:eastAsia="zh-CN"/>
        </w:rPr>
        <w:t>2</w:t>
      </w:r>
      <w:r>
        <w:rPr>
          <w:rFonts w:hint="eastAsia" w:ascii="宋体" w:hAnsi="宋体"/>
          <w:bCs/>
          <w:iCs/>
          <w:sz w:val="24"/>
          <w:highlight w:val="none"/>
        </w:rPr>
        <w:t>个月仍未纠正。</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获证客户在获证期间发生大量误用认证证书和认证标志，并未能及时有效地采取纠正和纠正措施，误导消费者，影响面大；</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获证客户转让认证证书和认证标志；</w:t>
      </w:r>
    </w:p>
    <w:p>
      <w:pPr>
        <w:pStyle w:val="10"/>
        <w:spacing w:after="0"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获证客户发生了</w:t>
      </w:r>
      <w:r>
        <w:rPr>
          <w:rFonts w:hint="eastAsia" w:ascii="宋体" w:hAnsi="宋体"/>
          <w:bCs/>
          <w:iCs/>
          <w:sz w:val="24"/>
          <w:highlight w:val="none"/>
          <w:lang w:eastAsia="zh-CN"/>
        </w:rPr>
        <w:t>由反贿赂管理引起的</w:t>
      </w:r>
      <w:r>
        <w:rPr>
          <w:rFonts w:hint="eastAsia" w:ascii="宋体" w:hAnsi="宋体"/>
          <w:bCs/>
          <w:iCs/>
          <w:sz w:val="24"/>
          <w:highlight w:val="none"/>
        </w:rPr>
        <w:t>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获证客户因换发新证而撤销旧证书。</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获证客户不承担、履行认证合同约定的责任和义务。</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获证客户单方面宣布不履行与CQM签署认证合同中规定的责任和义务的；</w:t>
      </w:r>
    </w:p>
    <w:p>
      <w:pPr>
        <w:pStyle w:val="10"/>
        <w:spacing w:after="0" w:line="360" w:lineRule="auto"/>
        <w:rPr>
          <w:rFonts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获证客户长期拖缴认证费用，并催缴无效的；</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 经核实获证客户提供虚假信息，且影响了审核、认证决定的有效性的；</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 获证客户</w:t>
      </w:r>
      <w:r>
        <w:rPr>
          <w:rFonts w:hint="eastAsia" w:ascii="宋体" w:hAnsi="宋体"/>
          <w:bCs/>
          <w:iCs/>
          <w:sz w:val="24"/>
          <w:highlight w:val="none"/>
        </w:rPr>
        <w:t>更换认证机构的（未书面告知CQM的）；</w:t>
      </w:r>
    </w:p>
    <w:p>
      <w:pPr>
        <w:pStyle w:val="10"/>
        <w:spacing w:after="0" w:line="360" w:lineRule="auto"/>
        <w:rPr>
          <w:rFonts w:hint="eastAsia" w:ascii="宋体" w:hAnsi="宋体"/>
          <w:bCs/>
          <w:iCs/>
          <w:sz w:val="24"/>
          <w:highlight w:val="none"/>
        </w:rPr>
      </w:pPr>
      <w:r>
        <w:rPr>
          <w:rFonts w:hint="eastAsia" w:ascii="宋体" w:hAnsi="宋体"/>
          <w:bCs/>
          <w:iCs/>
          <w:sz w:val="24"/>
          <w:highlight w:val="none"/>
        </w:rPr>
        <w:t>e</w:t>
      </w:r>
      <w:r>
        <w:rPr>
          <w:rFonts w:ascii="宋体" w:hAnsi="宋体"/>
          <w:bCs/>
          <w:iCs/>
          <w:sz w:val="24"/>
          <w:highlight w:val="none"/>
        </w:rPr>
        <w:t>) 获证客户对顾客或相关方的重大投诉不做处理的</w:t>
      </w:r>
      <w:r>
        <w:rPr>
          <w:rFonts w:hint="eastAsia" w:ascii="宋体" w:hAnsi="宋体"/>
          <w:bCs/>
          <w:iCs/>
          <w:sz w:val="24"/>
          <w:highlight w:val="none"/>
        </w:rPr>
        <w:t>。</w:t>
      </w:r>
    </w:p>
    <w:p>
      <w:pPr>
        <w:pStyle w:val="10"/>
        <w:spacing w:after="0"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获证客户主动放弃认证。</w:t>
      </w:r>
    </w:p>
    <w:p>
      <w:pPr>
        <w:pStyle w:val="10"/>
        <w:spacing w:after="0" w:line="360" w:lineRule="auto"/>
        <w:ind w:left="0" w:leftChars="0"/>
        <w:rPr>
          <w:rFonts w:hint="eastAsia" w:ascii="宋体" w:hAnsi="宋体"/>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其他原因需要撤销证书。</w:t>
      </w:r>
    </w:p>
    <w:p>
      <w:pPr>
        <w:spacing w:line="360" w:lineRule="auto"/>
        <w:rPr>
          <w:rFonts w:hint="eastAsia"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并公告，认证客户不得再使用认证证书和认证标志。</w:t>
      </w:r>
    </w:p>
    <w:p>
      <w:pPr>
        <w:pStyle w:val="2"/>
        <w:bidi w:val="0"/>
        <w:rPr>
          <w:rFonts w:hint="eastAsia"/>
          <w:highlight w:val="none"/>
        </w:rPr>
      </w:pPr>
      <w:bookmarkStart w:id="141" w:name="_Toc2112"/>
      <w:bookmarkStart w:id="142" w:name="_Toc31159"/>
      <w:bookmarkStart w:id="143" w:name="_Toc528053029"/>
      <w:r>
        <w:rPr>
          <w:rFonts w:hint="eastAsia"/>
          <w:highlight w:val="none"/>
          <w:lang w:val="en-US" w:eastAsia="zh-CN"/>
        </w:rPr>
        <w:t>11</w:t>
      </w:r>
      <w:r>
        <w:rPr>
          <w:rFonts w:hint="eastAsia"/>
          <w:highlight w:val="none"/>
        </w:rPr>
        <w:t xml:space="preserve"> 认证证书和认证标志</w:t>
      </w:r>
      <w:bookmarkEnd w:id="141"/>
      <w:bookmarkEnd w:id="142"/>
      <w:bookmarkEnd w:id="143"/>
    </w:p>
    <w:p>
      <w:pPr>
        <w:pStyle w:val="3"/>
        <w:bidi w:val="0"/>
        <w:rPr>
          <w:rFonts w:hint="eastAsia"/>
          <w:highlight w:val="none"/>
        </w:rPr>
      </w:pPr>
      <w:bookmarkStart w:id="144" w:name="_Toc85105526"/>
      <w:bookmarkStart w:id="145" w:name="_Toc85103637"/>
      <w:bookmarkStart w:id="146" w:name="_Toc444776347"/>
      <w:bookmarkStart w:id="147" w:name="_Toc528053030"/>
      <w:bookmarkStart w:id="148" w:name="_Toc185325640"/>
      <w:bookmarkStart w:id="149" w:name="_Toc85256262"/>
      <w:r>
        <w:rPr>
          <w:rFonts w:hint="eastAsia"/>
          <w:highlight w:val="none"/>
          <w:lang w:val="en-US" w:eastAsia="zh-CN"/>
        </w:rPr>
        <w:t>11</w:t>
      </w:r>
      <w:r>
        <w:rPr>
          <w:rFonts w:hint="eastAsia"/>
          <w:highlight w:val="none"/>
        </w:rPr>
        <w:t>.1 认证证书和认证标志</w:t>
      </w:r>
      <w:bookmarkEnd w:id="144"/>
      <w:bookmarkEnd w:id="145"/>
      <w:bookmarkEnd w:id="146"/>
      <w:bookmarkEnd w:id="147"/>
      <w:bookmarkEnd w:id="148"/>
      <w:bookmarkEnd w:id="149"/>
    </w:p>
    <w:p>
      <w:pPr>
        <w:spacing w:line="360" w:lineRule="auto"/>
        <w:rPr>
          <w:rFonts w:hint="eastAsia"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.1.1 认证证书</w:t>
      </w:r>
    </w:p>
    <w:p>
      <w:pPr>
        <w:spacing w:line="360" w:lineRule="auto"/>
        <w:ind w:firstLine="480" w:firstLineChars="200"/>
        <w:rPr>
          <w:rFonts w:hint="eastAsia"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hint="eastAsia"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.1.2 认证标志</w:t>
      </w:r>
    </w:p>
    <w:p>
      <w:pPr>
        <w:spacing w:line="360" w:lineRule="auto"/>
        <w:ind w:firstLine="480" w:firstLineChars="200"/>
        <w:rPr>
          <w:rFonts w:hint="eastAsia" w:ascii="宋体" w:hAnsi="宋体"/>
          <w:sz w:val="24"/>
          <w:highlight w:val="none"/>
        </w:rPr>
      </w:pPr>
      <w:r>
        <w:rPr>
          <w:rFonts w:hint="eastAsia" w:ascii="宋体" w:hAnsi="宋体"/>
          <w:sz w:val="24"/>
          <w:highlight w:val="none"/>
        </w:rPr>
        <w:t xml:space="preserve"> </w:t>
      </w:r>
      <w:r>
        <w:rPr>
          <w:rFonts w:ascii="宋体" w:hAnsi="宋体"/>
          <w:b/>
          <w:bCs/>
          <w:sz w:val="24"/>
          <w:highlight w:val="none"/>
        </w:rPr>
        <w:drawing>
          <wp:inline distT="0" distB="0" distL="0" distR="0">
            <wp:extent cx="885825" cy="885825"/>
            <wp:effectExtent l="0" t="0" r="7620" b="7620"/>
            <wp:docPr id="24" name="图片 13" descr="R标体系.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13" descr="R标体系.png"/>
                    <pic:cNvPicPr>
                      <a:picLocks noChangeAspect="true"/>
                    </pic:cNvPicPr>
                  </pic:nvPicPr>
                  <pic:blipFill>
                    <a:blip r:embed="rId12" cstate="print"/>
                    <a:stretch>
                      <a:fillRect/>
                    </a:stretch>
                  </pic:blipFill>
                  <pic:spPr>
                    <a:xfrm>
                      <a:off x="0" y="0"/>
                      <a:ext cx="885714" cy="885714"/>
                    </a:xfrm>
                    <a:prstGeom prst="rect">
                      <a:avLst/>
                    </a:prstGeom>
                  </pic:spPr>
                </pic:pic>
              </a:graphicData>
            </a:graphic>
          </wp:inline>
        </w:drawing>
      </w:r>
    </w:p>
    <w:p>
      <w:pPr>
        <w:pStyle w:val="3"/>
        <w:bidi w:val="0"/>
        <w:rPr>
          <w:rFonts w:hint="eastAsia"/>
          <w:highlight w:val="none"/>
        </w:rPr>
      </w:pPr>
      <w:bookmarkStart w:id="150" w:name="_Toc85105527"/>
      <w:bookmarkStart w:id="151" w:name="_Toc528053031"/>
      <w:bookmarkStart w:id="152" w:name="_Toc444776348"/>
      <w:bookmarkStart w:id="153" w:name="_Toc85256263"/>
      <w:bookmarkStart w:id="154" w:name="_Toc185325641"/>
      <w:r>
        <w:rPr>
          <w:rFonts w:hint="eastAsia"/>
          <w:highlight w:val="none"/>
          <w:lang w:val="en-US" w:eastAsia="zh-CN"/>
        </w:rPr>
        <w:t>11</w:t>
      </w:r>
      <w:r>
        <w:rPr>
          <w:rFonts w:hint="eastAsia"/>
          <w:highlight w:val="none"/>
        </w:rPr>
        <w:t>.2 认证证书和认证标志的使用</w:t>
      </w:r>
      <w:bookmarkEnd w:id="150"/>
      <w:bookmarkEnd w:id="151"/>
      <w:bookmarkEnd w:id="152"/>
      <w:bookmarkEnd w:id="153"/>
      <w:bookmarkEnd w:id="154"/>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获证客户应建立认证证书和认证标志的使用方案，获证后按照《管理体系认证证书和认证标志、认可标识使用规则</w:t>
      </w:r>
      <w:r>
        <w:rPr>
          <w:rFonts w:ascii="宋体" w:hAnsi="宋体"/>
          <w:sz w:val="24"/>
          <w:highlight w:val="none"/>
        </w:rPr>
        <w:t>》</w:t>
      </w:r>
      <w:r>
        <w:rPr>
          <w:rFonts w:hint="eastAsia" w:ascii="宋体" w:hAnsi="宋体"/>
          <w:sz w:val="24"/>
          <w:highlight w:val="none"/>
        </w:rPr>
        <w:t>正确使用认证证书和认证标志。</w:t>
      </w:r>
    </w:p>
    <w:p>
      <w:pPr>
        <w:pStyle w:val="3"/>
        <w:bidi w:val="0"/>
        <w:rPr>
          <w:rFonts w:hint="eastAsia"/>
          <w:highlight w:val="none"/>
          <w:lang w:eastAsia="zh-CN"/>
        </w:rPr>
      </w:pPr>
      <w:bookmarkStart w:id="155" w:name="_Toc85105528"/>
      <w:bookmarkStart w:id="156" w:name="_Toc528053032"/>
      <w:bookmarkStart w:id="157" w:name="_Toc85256264"/>
      <w:bookmarkStart w:id="158" w:name="_Toc185325642"/>
      <w:bookmarkStart w:id="159" w:name="_Toc85103638"/>
      <w:bookmarkStart w:id="160" w:name="_Toc444776349"/>
      <w:r>
        <w:rPr>
          <w:rFonts w:hint="eastAsia"/>
          <w:highlight w:val="none"/>
          <w:lang w:val="en-US" w:eastAsia="zh-CN"/>
        </w:rPr>
        <w:t>11</w:t>
      </w:r>
      <w:r>
        <w:rPr>
          <w:rFonts w:hint="eastAsia"/>
          <w:highlight w:val="none"/>
        </w:rPr>
        <w:t>.3 认证证书和认证标志的误用</w:t>
      </w:r>
      <w:bookmarkEnd w:id="155"/>
      <w:bookmarkEnd w:id="156"/>
      <w:bookmarkEnd w:id="157"/>
      <w:bookmarkEnd w:id="158"/>
      <w:bookmarkEnd w:id="159"/>
      <w:bookmarkEnd w:id="160"/>
    </w:p>
    <w:p>
      <w:pPr>
        <w:spacing w:line="360" w:lineRule="auto"/>
        <w:ind w:firstLine="480" w:firstLineChars="200"/>
        <w:rPr>
          <w:rFonts w:hint="eastAsia"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见《管理体系管理体系认证证书和认证标志、认可标识使用规则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获证客户一旦发现误用认证证书或认证标志，应立即采取纠正措施，并报告</w:t>
      </w:r>
      <w:r>
        <w:rPr>
          <w:rFonts w:hint="eastAsia" w:ascii="宋体" w:hAnsi="宋体"/>
          <w:sz w:val="24"/>
          <w:highlight w:val="none"/>
          <w:lang w:val="en-US" w:eastAsia="zh-CN"/>
        </w:rPr>
        <w:t>CQM</w:t>
      </w:r>
      <w:r>
        <w:rPr>
          <w:rFonts w:hint="eastAsia" w:ascii="宋体" w:hAnsi="宋体"/>
          <w:sz w:val="24"/>
          <w:highlight w:val="none"/>
        </w:rPr>
        <w:t>审核管理部门。</w:t>
      </w:r>
    </w:p>
    <w:p>
      <w:pPr>
        <w:pStyle w:val="2"/>
        <w:bidi w:val="0"/>
        <w:rPr>
          <w:rFonts w:hint="eastAsia"/>
          <w:highlight w:val="none"/>
        </w:rPr>
      </w:pPr>
      <w:bookmarkStart w:id="161" w:name="_Toc528053033"/>
      <w:bookmarkStart w:id="162" w:name="_Toc13831"/>
      <w:bookmarkStart w:id="163" w:name="_Toc15971"/>
      <w:r>
        <w:rPr>
          <w:rFonts w:hint="eastAsia"/>
          <w:highlight w:val="none"/>
          <w:lang w:val="en-US" w:eastAsia="zh-CN"/>
        </w:rPr>
        <w:t>12</w:t>
      </w:r>
      <w:r>
        <w:rPr>
          <w:rFonts w:hint="eastAsia"/>
          <w:highlight w:val="none"/>
        </w:rPr>
        <w:t xml:space="preserve"> 获证客户的信息通报</w:t>
      </w:r>
      <w:bookmarkEnd w:id="161"/>
      <w:bookmarkEnd w:id="162"/>
      <w:bookmarkEnd w:id="163"/>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获证客户应建立向</w:t>
      </w:r>
      <w:r>
        <w:rPr>
          <w:rFonts w:hint="eastAsia" w:ascii="宋体" w:hAnsi="宋体"/>
          <w:sz w:val="24"/>
          <w:highlight w:val="none"/>
          <w:lang w:val="en-US" w:eastAsia="zh-CN"/>
        </w:rPr>
        <w:t>CQM</w:t>
      </w:r>
      <w:r>
        <w:rPr>
          <w:rFonts w:hint="eastAsia" w:ascii="宋体" w:hAnsi="宋体"/>
          <w:sz w:val="24"/>
          <w:highlight w:val="none"/>
        </w:rPr>
        <w:t>通报最新信息的程序，并及时通报其重大投诉、国家监督检查结果、重大事故及获证客户变更的各种信息等。变更信息包括（但不限于）以下：</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组织地址(包括：注册地址、认证地址、邮编)；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证书表述的组织认证场所/生产场</w:t>
      </w:r>
      <w:r>
        <w:rPr>
          <w:rFonts w:hint="eastAsia" w:ascii="宋体" w:hAnsi="宋体"/>
          <w:color w:val="000000"/>
          <w:sz w:val="24"/>
          <w:highlight w:val="none"/>
          <w:lang w:val="en-US" w:eastAsia="zh-CN"/>
        </w:rPr>
        <w:t>所</w:t>
      </w:r>
      <w:r>
        <w:rPr>
          <w:rFonts w:hint="eastAsia" w:ascii="宋体" w:hAnsi="宋体"/>
          <w:color w:val="000000"/>
          <w:sz w:val="24"/>
          <w:highlight w:val="none"/>
        </w:rPr>
        <w:t xml:space="preserve">；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管理体系文件。         </w:t>
      </w:r>
    </w:p>
    <w:p>
      <w:pPr>
        <w:spacing w:line="360" w:lineRule="auto"/>
        <w:ind w:firstLine="480" w:firstLineChars="200"/>
        <w:rPr>
          <w:rFonts w:hint="eastAsia" w:ascii="宋体" w:hAnsi="宋体"/>
          <w:sz w:val="24"/>
          <w:highlight w:val="none"/>
        </w:rPr>
      </w:pPr>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w:t>
      </w:r>
    </w:p>
    <w:p>
      <w:pPr>
        <w:pStyle w:val="2"/>
        <w:bidi w:val="0"/>
        <w:rPr>
          <w:rFonts w:hint="eastAsia"/>
          <w:highlight w:val="none"/>
        </w:rPr>
      </w:pPr>
      <w:bookmarkStart w:id="164" w:name="_Toc10262"/>
      <w:bookmarkStart w:id="165" w:name="_Toc528053034"/>
      <w:bookmarkStart w:id="166" w:name="_Toc23008"/>
      <w:r>
        <w:rPr>
          <w:rFonts w:hint="eastAsia"/>
          <w:highlight w:val="none"/>
          <w:lang w:val="en-US" w:eastAsia="zh-CN"/>
        </w:rPr>
        <w:t>13</w:t>
      </w:r>
      <w:r>
        <w:rPr>
          <w:rFonts w:hint="eastAsia"/>
          <w:highlight w:val="none"/>
        </w:rPr>
        <w:t xml:space="preserve"> 认证要求变更的条件和程序</w:t>
      </w:r>
      <w:bookmarkEnd w:id="164"/>
      <w:bookmarkEnd w:id="165"/>
      <w:bookmarkEnd w:id="166"/>
    </w:p>
    <w:p>
      <w:pPr>
        <w:pStyle w:val="3"/>
        <w:bidi w:val="0"/>
        <w:rPr>
          <w:rFonts w:hint="eastAsia"/>
          <w:highlight w:val="none"/>
        </w:rPr>
      </w:pPr>
      <w:bookmarkStart w:id="167" w:name="_Toc528053035"/>
      <w:bookmarkStart w:id="168" w:name="_Toc444776352"/>
      <w:r>
        <w:rPr>
          <w:rFonts w:hint="eastAsia"/>
          <w:highlight w:val="none"/>
          <w:lang w:val="en-US" w:eastAsia="zh-CN"/>
        </w:rPr>
        <w:t>13</w:t>
      </w:r>
      <w:r>
        <w:rPr>
          <w:rFonts w:hint="eastAsia"/>
          <w:highlight w:val="none"/>
        </w:rPr>
        <w:t>.1 认证要求变更的条件</w:t>
      </w:r>
      <w:bookmarkEnd w:id="167"/>
      <w:bookmarkEnd w:id="168"/>
    </w:p>
    <w:p>
      <w:pPr>
        <w:numPr>
          <w:ilvl w:val="0"/>
          <w:numId w:val="24"/>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24"/>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24"/>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24"/>
        </w:numPr>
        <w:spacing w:line="360" w:lineRule="auto"/>
        <w:rPr>
          <w:rFonts w:hint="eastAsia" w:ascii="宋体" w:hAnsi="宋体"/>
          <w:sz w:val="24"/>
          <w:highlight w:val="none"/>
        </w:rPr>
      </w:pPr>
      <w:r>
        <w:rPr>
          <w:rFonts w:hint="eastAsia" w:ascii="宋体" w:hAnsi="宋体"/>
          <w:sz w:val="24"/>
          <w:highlight w:val="none"/>
        </w:rPr>
        <w:t>获证客户的管理体系已满足新的认证要求,且已正常运行。</w:t>
      </w:r>
    </w:p>
    <w:p>
      <w:pPr>
        <w:pStyle w:val="3"/>
        <w:bidi w:val="0"/>
        <w:rPr>
          <w:rFonts w:hint="eastAsia"/>
          <w:highlight w:val="none"/>
          <w:lang w:eastAsia="zh-CN"/>
        </w:rPr>
      </w:pPr>
      <w:bookmarkStart w:id="169" w:name="_Toc528053036"/>
      <w:bookmarkStart w:id="170" w:name="_Toc444776353"/>
      <w:r>
        <w:rPr>
          <w:rFonts w:hint="eastAsia"/>
          <w:highlight w:val="none"/>
          <w:lang w:val="en-US" w:eastAsia="zh-CN"/>
        </w:rPr>
        <w:t>13</w:t>
      </w:r>
      <w:r>
        <w:rPr>
          <w:rFonts w:hint="eastAsia"/>
          <w:highlight w:val="none"/>
        </w:rPr>
        <w:t>.</w:t>
      </w:r>
      <w:r>
        <w:rPr>
          <w:rFonts w:hint="eastAsia"/>
          <w:highlight w:val="none"/>
          <w:lang w:eastAsia="zh-CN"/>
        </w:rPr>
        <w:t>2</w:t>
      </w:r>
      <w:r>
        <w:rPr>
          <w:rFonts w:hint="eastAsia"/>
          <w:highlight w:val="none"/>
        </w:rPr>
        <w:t xml:space="preserve"> 认证要求变更的</w:t>
      </w:r>
      <w:r>
        <w:rPr>
          <w:rFonts w:hint="eastAsia"/>
          <w:highlight w:val="none"/>
          <w:lang w:eastAsia="zh-CN"/>
        </w:rPr>
        <w:t>程序</w:t>
      </w:r>
      <w:bookmarkEnd w:id="169"/>
      <w:bookmarkEnd w:id="170"/>
    </w:p>
    <w:p>
      <w:pPr>
        <w:numPr>
          <w:ilvl w:val="0"/>
          <w:numId w:val="25"/>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在认证要求变更转换期结束前，获证客户向CQM提出认证要求变更申请；提出申请日期宜在转换期截止前至少90天；</w:t>
      </w:r>
    </w:p>
    <w:p>
      <w:pPr>
        <w:numPr>
          <w:ilvl w:val="0"/>
          <w:numId w:val="25"/>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25"/>
        </w:numPr>
        <w:spacing w:line="360" w:lineRule="auto"/>
        <w:rPr>
          <w:rFonts w:hint="eastAsia"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pStyle w:val="2"/>
        <w:bidi w:val="0"/>
        <w:rPr>
          <w:rFonts w:hint="eastAsia"/>
          <w:highlight w:val="none"/>
        </w:rPr>
      </w:pPr>
      <w:bookmarkStart w:id="171" w:name="_Toc528053037"/>
      <w:bookmarkStart w:id="172" w:name="_Toc11255"/>
      <w:bookmarkStart w:id="173" w:name="_Toc21193"/>
      <w:r>
        <w:rPr>
          <w:rFonts w:hint="eastAsia"/>
          <w:highlight w:val="none"/>
        </w:rPr>
        <w:t>1</w:t>
      </w:r>
      <w:r>
        <w:rPr>
          <w:rFonts w:hint="eastAsia"/>
          <w:highlight w:val="none"/>
          <w:lang w:val="en-US" w:eastAsia="zh-CN"/>
        </w:rPr>
        <w:t>4</w:t>
      </w:r>
      <w:r>
        <w:rPr>
          <w:rFonts w:hint="eastAsia"/>
          <w:highlight w:val="none"/>
        </w:rPr>
        <w:t xml:space="preserve"> 保密</w:t>
      </w:r>
      <w:bookmarkEnd w:id="171"/>
      <w:bookmarkEnd w:id="172"/>
      <w:bookmarkEnd w:id="173"/>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hint="eastAsia"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p>
    <w:p>
      <w:pPr>
        <w:pStyle w:val="2"/>
        <w:bidi w:val="0"/>
        <w:rPr>
          <w:rFonts w:hint="eastAsia"/>
          <w:highlight w:val="none"/>
        </w:rPr>
      </w:pPr>
      <w:bookmarkStart w:id="174" w:name="_Toc528053038"/>
      <w:bookmarkStart w:id="175" w:name="_Toc27966"/>
      <w:bookmarkStart w:id="176" w:name="_Toc11901"/>
      <w:r>
        <w:rPr>
          <w:rFonts w:hint="eastAsia"/>
          <w:highlight w:val="none"/>
        </w:rPr>
        <w:t>1</w:t>
      </w:r>
      <w:r>
        <w:rPr>
          <w:rFonts w:hint="eastAsia"/>
          <w:highlight w:val="none"/>
          <w:lang w:val="en-US" w:eastAsia="zh-CN"/>
        </w:rPr>
        <w:t>5</w:t>
      </w:r>
      <w:r>
        <w:rPr>
          <w:rFonts w:hint="eastAsia"/>
          <w:highlight w:val="none"/>
        </w:rPr>
        <w:t xml:space="preserve"> 申诉/投诉、争议及处理</w:t>
      </w:r>
      <w:bookmarkEnd w:id="174"/>
      <w:bookmarkEnd w:id="175"/>
      <w:bookmarkEnd w:id="176"/>
    </w:p>
    <w:p>
      <w:pPr>
        <w:pStyle w:val="15"/>
        <w:spacing w:after="0" w:line="360" w:lineRule="auto"/>
        <w:ind w:left="0" w:leftChars="0" w:firstLine="420" w:firstLineChars="175"/>
        <w:rPr>
          <w:rFonts w:hint="eastAsia"/>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hint="eastAsia"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hint="eastAsia"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pStyle w:val="2"/>
        <w:bidi w:val="0"/>
        <w:rPr>
          <w:rFonts w:hint="eastAsia"/>
          <w:highlight w:val="none"/>
        </w:rPr>
      </w:pPr>
      <w:bookmarkStart w:id="177" w:name="_Toc528053039"/>
      <w:bookmarkStart w:id="178" w:name="_Toc29044"/>
      <w:bookmarkStart w:id="179" w:name="_Toc3684"/>
      <w:r>
        <w:rPr>
          <w:rFonts w:hint="eastAsia"/>
          <w:highlight w:val="none"/>
        </w:rPr>
        <w:t>1</w:t>
      </w:r>
      <w:r>
        <w:rPr>
          <w:rFonts w:hint="eastAsia"/>
          <w:highlight w:val="none"/>
          <w:lang w:val="en-US" w:eastAsia="zh-CN"/>
        </w:rPr>
        <w:t>6</w:t>
      </w:r>
      <w:r>
        <w:rPr>
          <w:rFonts w:hint="eastAsia"/>
          <w:highlight w:val="none"/>
        </w:rPr>
        <w:t xml:space="preserve"> 费用</w:t>
      </w:r>
      <w:bookmarkEnd w:id="177"/>
      <w:bookmarkEnd w:id="178"/>
      <w:bookmarkEnd w:id="179"/>
    </w:p>
    <w:p>
      <w:pPr>
        <w:spacing w:line="360" w:lineRule="auto"/>
        <w:ind w:firstLine="480"/>
        <w:rPr>
          <w:rFonts w:hint="eastAsia" w:ascii="宋体" w:hAnsi="宋体"/>
          <w:sz w:val="24"/>
          <w:highlight w:val="none"/>
        </w:rPr>
      </w:pPr>
      <w:r>
        <w:rPr>
          <w:rFonts w:hint="eastAsia" w:ascii="宋体" w:hAnsi="宋体"/>
          <w:sz w:val="24"/>
          <w:highlight w:val="none"/>
        </w:rPr>
        <w:t>实施本方案的费用，按CQM《反贿赂管理体系认证收费管理规则》执行。</w:t>
      </w:r>
    </w:p>
    <w:p>
      <w:pPr>
        <w:pStyle w:val="2"/>
        <w:bidi w:val="0"/>
        <w:rPr>
          <w:rFonts w:hint="eastAsia"/>
          <w:highlight w:val="none"/>
        </w:rPr>
      </w:pPr>
      <w:bookmarkStart w:id="180" w:name="_Toc528053040"/>
      <w:bookmarkStart w:id="181" w:name="_Toc16981"/>
      <w:bookmarkStart w:id="182" w:name="_Toc160"/>
      <w:r>
        <w:rPr>
          <w:rFonts w:hint="eastAsia"/>
          <w:highlight w:val="none"/>
        </w:rPr>
        <w:t>1</w:t>
      </w:r>
      <w:r>
        <w:rPr>
          <w:rFonts w:hint="eastAsia"/>
          <w:highlight w:val="none"/>
          <w:lang w:val="en-US" w:eastAsia="zh-CN"/>
        </w:rPr>
        <w:t>7</w:t>
      </w:r>
      <w:r>
        <w:rPr>
          <w:rFonts w:hint="eastAsia"/>
          <w:highlight w:val="none"/>
        </w:rPr>
        <w:t xml:space="preserve"> 公告</w:t>
      </w:r>
      <w:bookmarkEnd w:id="180"/>
      <w:bookmarkEnd w:id="181"/>
      <w:bookmarkEnd w:id="182"/>
    </w:p>
    <w:p>
      <w:pPr>
        <w:spacing w:line="360" w:lineRule="auto"/>
        <w:ind w:firstLine="480"/>
        <w:rPr>
          <w:rFonts w:hint="eastAsia" w:ascii="宋体" w:hAnsi="宋体"/>
          <w:sz w:val="24"/>
          <w:highlight w:val="none"/>
        </w:rPr>
      </w:pPr>
      <w:r>
        <w:rPr>
          <w:rFonts w:hint="eastAsia" w:ascii="宋体" w:hAnsi="宋体"/>
          <w:sz w:val="24"/>
          <w:highlight w:val="none"/>
        </w:rPr>
        <w:t>对获得认证、暂停、恢复或撤销的认证客户，在CQM网站上公布。</w:t>
      </w:r>
    </w:p>
    <w:p>
      <w:pPr>
        <w:pStyle w:val="2"/>
        <w:spacing w:before="156" w:beforeLines="50" w:after="156" w:afterLines="50" w:line="360" w:lineRule="auto"/>
        <w:rPr>
          <w:rFonts w:hint="eastAsia" w:ascii="黑体" w:hAnsi="黑体" w:eastAsia="黑体"/>
          <w:highlight w:val="none"/>
        </w:rPr>
      </w:pPr>
      <w:bookmarkStart w:id="183" w:name="_Toc25577"/>
      <w:bookmarkStart w:id="184" w:name="_Toc25985"/>
      <w:bookmarkStart w:id="185" w:name="_Toc528053041"/>
      <w:r>
        <w:rPr>
          <w:rFonts w:hint="eastAsia" w:ascii="黑体" w:hAnsi="黑体" w:eastAsia="黑体"/>
          <w:highlight w:val="none"/>
        </w:rPr>
        <w:t>1</w:t>
      </w:r>
      <w:r>
        <w:rPr>
          <w:rFonts w:hint="eastAsia" w:ascii="黑体" w:hAnsi="黑体"/>
          <w:highlight w:val="none"/>
          <w:lang w:val="en-US" w:eastAsia="zh-CN"/>
        </w:rPr>
        <w:t>8</w:t>
      </w:r>
      <w:r>
        <w:rPr>
          <w:rFonts w:hint="eastAsia" w:ascii="黑体" w:hAnsi="黑体" w:eastAsia="黑体"/>
          <w:highlight w:val="none"/>
        </w:rPr>
        <w:t xml:space="preserve"> 附则</w:t>
      </w:r>
      <w:bookmarkEnd w:id="183"/>
      <w:bookmarkEnd w:id="184"/>
      <w:bookmarkEnd w:id="185"/>
    </w:p>
    <w:p>
      <w:pPr>
        <w:spacing w:line="360" w:lineRule="auto"/>
        <w:ind w:firstLine="480"/>
        <w:rPr>
          <w:rFonts w:hint="eastAsia" w:ascii="黑体" w:eastAsia="黑体"/>
          <w:sz w:val="36"/>
          <w:szCs w:val="36"/>
          <w:highlight w:val="none"/>
        </w:rPr>
      </w:pPr>
      <w:r>
        <w:rPr>
          <w:rFonts w:hint="eastAsia" w:ascii="宋体" w:hAnsi="宋体"/>
          <w:sz w:val="24"/>
          <w:highlight w:val="none"/>
        </w:rPr>
        <w:t>本方案由方圆标志认证集团有限公司负责解释。</w:t>
      </w:r>
    </w:p>
    <w:bookmarkEnd w:id="50"/>
    <w:bookmarkEnd w:id="51"/>
    <w:bookmarkEnd w:id="52"/>
    <w:bookmarkEnd w:id="53"/>
    <w:bookmarkEnd w:id="54"/>
    <w:bookmarkEnd w:id="55"/>
    <w:bookmarkEnd w:id="56"/>
    <w:bookmarkEnd w:id="57"/>
    <w:bookmarkEnd w:id="58"/>
    <w:bookmarkEnd w:id="59"/>
    <w:bookmarkEnd w:id="60"/>
    <w:bookmarkEnd w:id="61"/>
    <w:bookmarkEnd w:id="62"/>
    <w:bookmarkEnd w:id="63"/>
    <w:p>
      <w:pPr>
        <w:spacing w:line="360" w:lineRule="auto"/>
        <w:rPr>
          <w:rFonts w:hint="eastAsia" w:ascii="黑体" w:hAnsi="宋体" w:eastAsia="黑体"/>
          <w:szCs w:val="21"/>
          <w:highlight w:val="none"/>
        </w:rPr>
      </w:pPr>
    </w:p>
    <w:bookmarkEnd w:id="188"/>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620"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12"/>
            <w:jc w:val="both"/>
          </w:pPr>
        </w:p>
        <w:p>
          <w:pPr>
            <w:pStyle w:val="12"/>
            <w:jc w:val="both"/>
            <w:rPr>
              <w:rFonts w:hint="default" w:eastAsia="宋体"/>
              <w:lang w:val="en-US" w:eastAsia="zh-CN"/>
            </w:rPr>
          </w:pPr>
          <w:r>
            <w:t>CQM/S-</w:t>
          </w:r>
          <w:r>
            <w:rPr>
              <w:rFonts w:hint="eastAsia"/>
            </w:rPr>
            <w:t>FN-</w:t>
          </w:r>
          <w:r>
            <w:rPr>
              <w:rFonts w:hint="eastAsia"/>
              <w:lang w:val="en-US" w:eastAsia="zh-CN"/>
            </w:rPr>
            <w:t>59-</w:t>
          </w:r>
          <w:r>
            <w:rPr>
              <w:rFonts w:hint="eastAsia"/>
            </w:rPr>
            <w:t>0</w:t>
          </w:r>
          <w:r>
            <w:rPr>
              <w:rFonts w:hint="eastAsia"/>
              <w:lang w:val="en-US" w:eastAsia="zh-CN"/>
            </w:rPr>
            <w:t>58</w:t>
          </w:r>
        </w:p>
        <w:p>
          <w:pPr>
            <w:pStyle w:val="12"/>
            <w:jc w:val="both"/>
          </w:pPr>
          <w:r>
            <w:rPr>
              <w:rFonts w:hint="eastAsia"/>
            </w:rPr>
            <w:t>20</w:t>
          </w:r>
          <w:r>
            <w:rPr>
              <w:rFonts w:hint="eastAsia"/>
              <w:lang w:eastAsia="zh-CN"/>
            </w:rPr>
            <w:t>16</w:t>
          </w:r>
          <w:r>
            <w:rPr>
              <w:rFonts w:hint="eastAsia"/>
            </w:rPr>
            <w:t>年01月01日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 xml:space="preserve">第 </w:t>
          </w:r>
          <w:r>
            <w:rPr>
              <w:rFonts w:hint="eastAsia"/>
              <w:lang w:val="en-US" w:eastAsia="zh-CN"/>
            </w:rPr>
            <w:t>1</w:t>
          </w:r>
          <w:r>
            <w:rPr>
              <w:rFonts w:hint="eastAsia"/>
            </w:rPr>
            <w:t xml:space="preserve"> </w:t>
          </w:r>
          <w:r>
            <w:rPr>
              <w:rStyle w:val="21"/>
              <w:rFonts w:hint="eastAsia"/>
            </w:rPr>
            <w:t xml:space="preserve">页  共 </w:t>
          </w:r>
          <w:r>
            <w:rPr>
              <w:rStyle w:val="21"/>
              <w:rFonts w:hint="eastAsia"/>
              <w:lang w:eastAsia="zh-CN"/>
            </w:rPr>
            <w:t>20</w:t>
          </w:r>
          <w:r>
            <w:rPr>
              <w:rStyle w:val="21"/>
              <w:rFonts w:hint="eastAsia"/>
            </w:rPr>
            <w:t xml:space="preserve"> 页</w:t>
          </w:r>
        </w:p>
      </w:tc>
    </w:tr>
  </w:tbl>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231"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12"/>
            <w:jc w:val="both"/>
          </w:pPr>
        </w:p>
        <w:p>
          <w:pPr>
            <w:pStyle w:val="12"/>
            <w:jc w:val="both"/>
            <w:rPr>
              <w:rFonts w:hint="default" w:eastAsia="宋体"/>
              <w:lang w:val="en-US" w:eastAsia="zh-CN"/>
            </w:rPr>
          </w:pPr>
          <w:r>
            <w:t>CQM/S-</w:t>
          </w:r>
          <w:r>
            <w:rPr>
              <w:rFonts w:hint="eastAsia"/>
            </w:rPr>
            <w:t>FN-</w:t>
          </w:r>
          <w:r>
            <w:rPr>
              <w:rFonts w:hint="eastAsia"/>
              <w:lang w:val="en-US" w:eastAsia="zh-CN"/>
            </w:rPr>
            <w:t>59-</w:t>
          </w:r>
          <w:r>
            <w:rPr>
              <w:rFonts w:hint="eastAsia"/>
            </w:rPr>
            <w:t>0</w:t>
          </w:r>
          <w:r>
            <w:rPr>
              <w:rFonts w:hint="eastAsia"/>
              <w:lang w:val="en-US" w:eastAsia="zh-CN"/>
            </w:rPr>
            <w:t>58</w:t>
          </w:r>
        </w:p>
        <w:p>
          <w:pPr>
            <w:pStyle w:val="12"/>
            <w:jc w:val="both"/>
            <w:rPr>
              <w:rFonts w:hint="eastAsia"/>
              <w:lang w:val="en-US" w:eastAsia="zh-CN"/>
            </w:rPr>
          </w:pPr>
          <w:r>
            <w:rPr>
              <w:rFonts w:hint="eastAsia"/>
            </w:rPr>
            <w:t>202</w:t>
          </w:r>
          <w:r>
            <w:rPr>
              <w:rFonts w:hint="eastAsia"/>
              <w:lang w:val="en-US" w:eastAsia="zh-CN"/>
            </w:rPr>
            <w:t>4</w:t>
          </w:r>
          <w:r>
            <w:rPr>
              <w:rFonts w:hint="eastAsia"/>
            </w:rPr>
            <w:t>年</w:t>
          </w:r>
          <w:r>
            <w:rPr>
              <w:rFonts w:hint="eastAsia"/>
              <w:lang w:val="en-US" w:eastAsia="zh-CN"/>
            </w:rPr>
            <w:t>09</w:t>
          </w:r>
          <w:r>
            <w:rPr>
              <w:rFonts w:hint="eastAsia"/>
            </w:rPr>
            <w:t>月</w:t>
          </w:r>
          <w:r>
            <w:rPr>
              <w:rFonts w:hint="eastAsia"/>
              <w:lang w:val="en-US" w:eastAsia="zh-CN"/>
            </w:rPr>
            <w:t>05</w:t>
          </w:r>
          <w:r>
            <w:rPr>
              <w:rFonts w:hint="eastAsia"/>
            </w:rPr>
            <w:t>日</w:t>
          </w:r>
        </w:p>
        <w:p>
          <w:pPr>
            <w:pStyle w:val="12"/>
            <w:jc w:val="both"/>
            <w:rPr>
              <w:rFonts w:hint="default" w:eastAsia="宋体"/>
              <w:lang w:val="en-US" w:eastAsia="zh-CN"/>
            </w:rPr>
          </w:pPr>
          <w:r>
            <w:rPr>
              <w:rFonts w:hint="eastAsia"/>
              <w:lang w:val="en-US" w:eastAsia="zh-CN"/>
            </w:rPr>
            <w:t>2025年06月13日</w:t>
          </w:r>
        </w:p>
        <w:p>
          <w:pPr>
            <w:pStyle w:val="12"/>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13</w:t>
          </w:r>
          <w:r>
            <w:rPr>
              <w:rFonts w:hint="eastAsia"/>
            </w:rPr>
            <w:t>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21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fals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l1BAbYBAABJAwAADgAA&#10;AGRycy9lMm9Eb2MueG1srVNLbtswEN0X6B0I7mNRNhK4guUARZCiQNEWSNM9TZEWAf4wpC35Au0N&#10;uuqm+57L5+iQttxPdkG1IIYzj4/z3lCr29EaspcQtXctrWeMEumE77TbtvTx0/3VkpKYuOu48U62&#10;9CAjvV2/fLEaQiPnvvemk0CQxMVmCC3tUwpNVUXRS8vjzAfpsKg8WJ5wC9uqAz4guzXVnLGbavDQ&#10;BfBCxojZu1ORrgu/UlKkD0pFmYhpKfaWygpl3eS1Wq94swUeei3ObfBndGG5dnjpheqOJ052oJ9Q&#10;WS3AR6/STHhbeaW0kEUDqqnZP2oeeh5k0YLmxHCxKf4/WvF+/xGI7lp6Q4njFkd0/Pb1+P3n8ccX&#10;sphnf4YQG4Q9BASm8bUfW5pgJ6dSxHxWPiqwBDw6fFWzJcsfJcro8PmMzyAUTPA8Vg4X9+WYiMBk&#10;zdicLbAksFZfv1osr/Md1Yk6nw4Q0xvpLclBSwGnW0zn+3cxnaATJMOdv9fGlAkb91cCOXOmytJO&#10;/ecojZvxrHfjuwPKNW8dep3fzRTAFGymYBdAb3tsR3ETiyuFFudVej+/rfwg/tyXy3//A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nHLvKdQAAAAGAQAADwAAAAAAAAABACAAAAA4AAAAZHJzL2Rv&#10;d25yZXYueG1sUEsBAhQAFAAAAAgAh07iQPpdQQG2AQAASQMAAA4AAAAAAAAAAQAgAAAAOQEAAGRy&#10;cy9lMm9Eb2MueG1sUEsFBgAAAAAGAAYAWQEAAGEFAAAAAA==&#10;">
                    <v:fill on="f" focussize="0,0"/>
                    <v:stroke on="f"/>
                    <v:imagedata o:title=""/>
                    <o:lock v:ext="edit" aspectratio="f"/>
                    <v:textbox inset="0mm,0mm,0mm,0mm">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21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p>
      </w:tc>
    </w:tr>
  </w:tbl>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2</w:t>
                          </w:r>
                          <w:r>
                            <w:fldChar w:fldCharType="end"/>
                          </w:r>
                        </w:p>
                      </w:txbxContent>
                    </wps:txbx>
                    <wps:bodyPr wrap="none" lIns="0" tIns="0" rIns="0" bIns="0" upright="fals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D9oWO1AQAAUwMAAA4AAABkcnMv&#10;ZTJvRG9jLnhtbK1TS44TMRDdI3EHy3viTkAoasUZgUaDkBCMNMwBHLedtuSfyk66cwG4ASs2s59z&#10;5RxTdtIZPjvExl2uqn71XlV5dTU6S/YKkgme0/msoUR5GTrjt5zef715taQkZeE7YYNXnB5Uolfr&#10;ly9WQ2zVIvTBdgoIgvjUDpHTPufYMpZkr5xIsxCVx6AO4ETGK2xZB2JAdGfZomnesiFAFyFIlRJ6&#10;r09Buq74WiuZv2idVCaWU+SW6wn13JSTrVei3YKIvZFnGuIfWDhhPBa9QF2LLMgOzF9QzkgIKeg8&#10;k8GxoLWRqmpANfPmDzV3vYiqasHmpHhpU/p/sPLz/haI6Th9Q4kXDkd0/PH9+PPx+PCNLF6X/gwx&#10;tZh2FzExj+/DyGmGnZpCCf1F+ajBlS9qIpiCzT5cGqzGTCQ658vFctlgSGJsumAJ9vx7hJQ/qOBI&#10;MTgFnGBtrNh/SvmUOqWUaj7cGGvrFK3/zYGYxcMK/RPHYuVxM541bUJ3QEkDDp9Tj9tJif3osbdl&#10;TyYDJmMzGbsIZtsjNS1sKtMRCP9ul5FI5VeqnKDPxXFyVeF5y8pq/HqvWc9vY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OD9oWO1AQAAUwMAAA4AAAAAAAAAAQAgAAAANAEAAGRycy9lMm9E&#10;b2MueG1sUEsFBgAAAAAGAAYAWQEAAFsFA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3"/>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8890" b="635"/>
          <wp:wrapNone/>
          <wp:docPr id="2"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8890" b="635"/>
          <wp:wrapNone/>
          <wp:docPr id="1"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16CC3A54"/>
    <w:multiLevelType w:val="multilevel"/>
    <w:tmpl w:val="16CC3A5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4">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5">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6">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7">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8">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0">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2">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3">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4">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5">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6">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17">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8">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9">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0">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1">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22">
    <w:nsid w:val="79057DE9"/>
    <w:multiLevelType w:val="multilevel"/>
    <w:tmpl w:val="79057DE9"/>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3">
    <w:nsid w:val="7C15E323"/>
    <w:multiLevelType w:val="multilevel"/>
    <w:tmpl w:val="7C15E323"/>
    <w:lvl w:ilvl="0" w:tentative="0">
      <w:start w:val="1"/>
      <w:numFmt w:val="lowerLetter"/>
      <w:suff w:val="space"/>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4">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1"/>
  </w:num>
  <w:num w:numId="2">
    <w:abstractNumId w:val="8"/>
  </w:num>
  <w:num w:numId="3">
    <w:abstractNumId w:val="0"/>
  </w:num>
  <w:num w:numId="4">
    <w:abstractNumId w:val="16"/>
  </w:num>
  <w:num w:numId="5">
    <w:abstractNumId w:val="13"/>
  </w:num>
  <w:num w:numId="6">
    <w:abstractNumId w:val="18"/>
  </w:num>
  <w:num w:numId="7">
    <w:abstractNumId w:val="17"/>
  </w:num>
  <w:num w:numId="8">
    <w:abstractNumId w:val="20"/>
  </w:num>
  <w:num w:numId="9">
    <w:abstractNumId w:val="15"/>
  </w:num>
  <w:num w:numId="10">
    <w:abstractNumId w:val="6"/>
  </w:num>
  <w:num w:numId="11">
    <w:abstractNumId w:val="3"/>
  </w:num>
  <w:num w:numId="12">
    <w:abstractNumId w:val="21"/>
  </w:num>
  <w:num w:numId="13">
    <w:abstractNumId w:val="12"/>
  </w:num>
  <w:num w:numId="14">
    <w:abstractNumId w:val="7"/>
  </w:num>
  <w:num w:numId="15">
    <w:abstractNumId w:val="2"/>
  </w:num>
  <w:num w:numId="16">
    <w:abstractNumId w:val="19"/>
  </w:num>
  <w:num w:numId="17">
    <w:abstractNumId w:val="5"/>
  </w:num>
  <w:num w:numId="18">
    <w:abstractNumId w:val="23"/>
  </w:num>
  <w:num w:numId="19">
    <w:abstractNumId w:val="10"/>
  </w:num>
  <w:num w:numId="20">
    <w:abstractNumId w:val="4"/>
  </w:num>
  <w:num w:numId="21">
    <w:abstractNumId w:val="22"/>
  </w:num>
  <w:num w:numId="22">
    <w:abstractNumId w:val="9"/>
  </w:num>
  <w:num w:numId="23">
    <w:abstractNumId w:val="24"/>
  </w:num>
  <w:num w:numId="24">
    <w:abstractNumId w:val="1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6100e857-d12c-48dd-9409-7b15f6099d43"/>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061E4"/>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66E2140"/>
    <w:rsid w:val="06893AAA"/>
    <w:rsid w:val="06941AA0"/>
    <w:rsid w:val="078C29F9"/>
    <w:rsid w:val="0A701D39"/>
    <w:rsid w:val="0AB65C89"/>
    <w:rsid w:val="0AEA0988"/>
    <w:rsid w:val="0C0C1DAF"/>
    <w:rsid w:val="120C3966"/>
    <w:rsid w:val="1F1E48D5"/>
    <w:rsid w:val="20681790"/>
    <w:rsid w:val="22E12446"/>
    <w:rsid w:val="23655A79"/>
    <w:rsid w:val="256064CA"/>
    <w:rsid w:val="26941392"/>
    <w:rsid w:val="29C22ACC"/>
    <w:rsid w:val="2FA45F37"/>
    <w:rsid w:val="34070D19"/>
    <w:rsid w:val="37370DF4"/>
    <w:rsid w:val="376643DD"/>
    <w:rsid w:val="3E3A4952"/>
    <w:rsid w:val="44314A28"/>
    <w:rsid w:val="4C760506"/>
    <w:rsid w:val="4D4D5805"/>
    <w:rsid w:val="50BA5A2F"/>
    <w:rsid w:val="52297510"/>
    <w:rsid w:val="52BE7ACF"/>
    <w:rsid w:val="541E1033"/>
    <w:rsid w:val="56462EAF"/>
    <w:rsid w:val="5B567260"/>
    <w:rsid w:val="5C0A0C51"/>
    <w:rsid w:val="5C9A38A7"/>
    <w:rsid w:val="5DB54B73"/>
    <w:rsid w:val="5EF4302F"/>
    <w:rsid w:val="61095CDB"/>
    <w:rsid w:val="661348E7"/>
    <w:rsid w:val="682B65E9"/>
    <w:rsid w:val="691F25AF"/>
    <w:rsid w:val="6BF82D5E"/>
    <w:rsid w:val="6DE92D60"/>
    <w:rsid w:val="70C72316"/>
    <w:rsid w:val="74B4085B"/>
    <w:rsid w:val="76C447BE"/>
    <w:rsid w:val="78210102"/>
    <w:rsid w:val="FFEE64F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50" w:beforeLines="50" w:after="50" w:afterLines="50" w:line="360" w:lineRule="auto"/>
      <w:outlineLvl w:val="0"/>
    </w:pPr>
    <w:rPr>
      <w:rFonts w:ascii="Arial" w:hAnsi="Arial" w:eastAsia="黑体"/>
      <w:b/>
      <w:bCs/>
      <w:kern w:val="44"/>
      <w:sz w:val="24"/>
      <w:szCs w:val="44"/>
    </w:rPr>
  </w:style>
  <w:style w:type="paragraph" w:styleId="3">
    <w:name w:val="heading 2"/>
    <w:basedOn w:val="1"/>
    <w:next w:val="1"/>
    <w:qFormat/>
    <w:uiPriority w:val="0"/>
    <w:pPr>
      <w:keepNext/>
      <w:keepLines/>
      <w:spacing w:after="50" w:afterLines="50" w:line="240" w:lineRule="auto"/>
      <w:outlineLvl w:val="1"/>
    </w:pPr>
    <w:rPr>
      <w:rFonts w:ascii="Arial" w:hAnsi="Arial"/>
      <w:b/>
      <w:bCs/>
      <w:sz w:val="24"/>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Body Text"/>
    <w:basedOn w:val="1"/>
    <w:qFormat/>
    <w:uiPriority w:val="0"/>
    <w:pPr>
      <w:spacing w:after="120"/>
    </w:pPr>
  </w:style>
  <w:style w:type="paragraph" w:styleId="8">
    <w:name w:val="Body Text Indent"/>
    <w:basedOn w:val="1"/>
    <w:qFormat/>
    <w:uiPriority w:val="0"/>
    <w:pPr>
      <w:widowControl/>
      <w:ind w:firstLine="560" w:firstLineChars="200"/>
      <w:jc w:val="left"/>
    </w:pPr>
    <w:rPr>
      <w:rFonts w:ascii="宋体" w:hAnsi="宋体"/>
      <w:color w:val="000000"/>
      <w:sz w:val="28"/>
      <w:szCs w:val="33"/>
    </w:rPr>
  </w:style>
  <w:style w:type="paragraph" w:styleId="9">
    <w:name w:val="List 2"/>
    <w:basedOn w:val="1"/>
    <w:qFormat/>
    <w:uiPriority w:val="0"/>
    <w:pPr>
      <w:ind w:left="100" w:leftChars="200" w:hanging="200" w:hangingChars="200"/>
    </w:pPr>
  </w:style>
  <w:style w:type="paragraph" w:styleId="10">
    <w:name w:val="Body Text Indent 2"/>
    <w:basedOn w:val="1"/>
    <w:qFormat/>
    <w:uiPriority w:val="0"/>
    <w:pPr>
      <w:spacing w:after="120" w:line="480" w:lineRule="auto"/>
      <w:ind w:left="420" w:leftChars="200"/>
    </w:p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5">
    <w:name w:val="Body Text Indent 3"/>
    <w:basedOn w:val="1"/>
    <w:qFormat/>
    <w:uiPriority w:val="0"/>
    <w:pPr>
      <w:spacing w:after="120"/>
      <w:ind w:left="420" w:leftChars="200"/>
    </w:pPr>
    <w:rPr>
      <w:sz w:val="16"/>
      <w:szCs w:val="16"/>
    </w:rPr>
  </w:style>
  <w:style w:type="paragraph" w:styleId="16">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7">
    <w:name w:val="Body Text 2"/>
    <w:basedOn w:val="1"/>
    <w:qFormat/>
    <w:uiPriority w:val="0"/>
    <w:pPr>
      <w:spacing w:after="120" w:line="480" w:lineRule="auto"/>
    </w:pPr>
  </w:style>
  <w:style w:type="paragraph" w:styleId="18">
    <w:name w:val="Title"/>
    <w:basedOn w:val="1"/>
    <w:next w:val="1"/>
    <w:qFormat/>
    <w:uiPriority w:val="0"/>
    <w:pPr>
      <w:spacing w:before="240" w:after="60"/>
      <w:jc w:val="center"/>
      <w:outlineLvl w:val="0"/>
    </w:pPr>
    <w:rPr>
      <w:rFonts w:ascii="Cambria" w:hAnsi="Cambria"/>
      <w:b/>
      <w:bCs/>
      <w:sz w:val="32"/>
      <w:szCs w:val="32"/>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批注框文本 Char"/>
    <w:basedOn w:val="20"/>
    <w:link w:val="11"/>
    <w:qFormat/>
    <w:uiPriority w:val="0"/>
    <w:rPr>
      <w:kern w:val="2"/>
      <w:sz w:val="18"/>
      <w:szCs w:val="18"/>
    </w:rPr>
  </w:style>
  <w:style w:type="paragraph" w:customStyle="1" w:styleId="24">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5">
    <w:name w:val="二级条标题"/>
    <w:basedOn w:val="26"/>
    <w:next w:val="1"/>
    <w:qFormat/>
    <w:uiPriority w:val="0"/>
    <w:pPr>
      <w:outlineLvl w:val="3"/>
    </w:pPr>
  </w:style>
  <w:style w:type="paragraph" w:customStyle="1" w:styleId="26">
    <w:name w:val="一级条标题"/>
    <w:next w:val="27"/>
    <w:qFormat/>
    <w:uiPriority w:val="0"/>
    <w:pPr>
      <w:outlineLvl w:val="2"/>
    </w:pPr>
    <w:rPr>
      <w:rFonts w:ascii="Times New Roman" w:hAnsi="Times New Roman" w:eastAsia="黑体" w:cs="Times New Roman"/>
      <w:sz w:val="21"/>
      <w:lang w:val="en-US" w:eastAsia="zh-CN" w:bidi="ar-SA"/>
    </w:rPr>
  </w:style>
  <w:style w:type="paragraph" w:customStyle="1" w:styleId="27">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 w:type="character" w:customStyle="1" w:styleId="28">
    <w:name w:val="标题 1 Char"/>
    <w:link w:val="2"/>
    <w:qFormat/>
    <w:uiPriority w:val="0"/>
    <w:rPr>
      <w:rFonts w:ascii="Arial" w:hAnsi="Arial" w:eastAsia="黑体"/>
      <w:b/>
      <w:bCs/>
      <w:kern w:val="44"/>
      <w:sz w:val="2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wmf"/><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22</Pages>
  <Words>12030</Words>
  <Characters>12706</Characters>
  <Lines>5</Lines>
  <Paragraphs>1</Paragraphs>
  <TotalTime>2</TotalTime>
  <ScaleCrop>false</ScaleCrop>
  <LinksUpToDate>false</LinksUpToDate>
  <CharactersWithSpaces>12904</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2025-09-11T12:13:40Z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B68E5FD135D4463597A70B17169823BC_13</vt:lpwstr>
  </property>
</Properties>
</file>