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bookmarkStart w:id="144" w:name="_GoBack"/>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0288" behindDoc="0" locked="0" layoutInCell="1" allowOverlap="1">
                <wp:simplePos x="0" y="0"/>
                <wp:positionH relativeFrom="column">
                  <wp:posOffset>454025</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pStyle w:val="15"/>
                              <w:spacing w:before="0" w:after="0"/>
                              <w:rPr>
                                <w:rFonts w:hint="eastAsia" w:ascii="黑体" w:hAnsi="Times New Roman" w:eastAsia="黑体" w:cs="Times New Roman"/>
                                <w:b w:val="0"/>
                                <w:bCs w:val="0"/>
                                <w:color w:val="002071"/>
                                <w:kern w:val="2"/>
                                <w:sz w:val="52"/>
                                <w:szCs w:val="52"/>
                                <w:lang w:val="en-US" w:eastAsia="zh-CN" w:bidi="ar-SA"/>
                              </w:rPr>
                            </w:pPr>
                            <w:bookmarkStart w:id="142" w:name="_Toc440007486"/>
                            <w:bookmarkStart w:id="143" w:name="_Toc444776325"/>
                            <w:r>
                              <w:rPr>
                                <w:rFonts w:hint="eastAsia" w:ascii="黑体" w:hAnsi="Times New Roman" w:eastAsia="黑体" w:cs="Times New Roman"/>
                                <w:b w:val="0"/>
                                <w:bCs w:val="0"/>
                                <w:color w:val="002071"/>
                                <w:kern w:val="2"/>
                                <w:sz w:val="52"/>
                                <w:szCs w:val="52"/>
                                <w:lang w:val="en-US" w:eastAsia="zh-CN" w:bidi="ar-SA"/>
                              </w:rPr>
                              <w:t>信息安全管理体系认证实施方案</w:t>
                            </w:r>
                            <w:bookmarkEnd w:id="142"/>
                            <w:bookmarkEnd w:id="143"/>
                          </w:p>
                          <w:p>
                            <w:pPr>
                              <w:pStyle w:val="4"/>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8.8pt;height:128.5pt;width:403.8pt;z-index:251660288;mso-width-relative:page;mso-height-relative:page;" filled="f" stroked="f" coordsize="21600,21600" o:gfxdata="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EMhCw/ZAAAACQEAAA8AAAAAAAAAAQAg&#10;AAAAOAAAAGRycy9kb3ducmV2LnhtbFBLAQIUABQAAAAIAIdO4kDPmiZG9wEAANoDAAAOAAAAAAAA&#10;AAEAIAAAAD4BAABkcnMvZTJvRG9jLnhtbFBLBQYAAAAABgAGAFkBAACnBQAAAAA=&#10;">
                <v:fill on="f" focussize="0,0"/>
                <v:stroke on="f"/>
                <v:imagedata o:title=""/>
                <o:lock v:ext="edit" aspectratio="f"/>
                <v:textbox inset="0mm,4mm,0mm,2.3mm">
                  <w:txbxContent>
                    <w:p>
                      <w:pPr>
                        <w:pStyle w:val="15"/>
                        <w:spacing w:before="0" w:after="0"/>
                        <w:rPr>
                          <w:rFonts w:hint="eastAsia" w:ascii="黑体" w:hAnsi="Times New Roman" w:eastAsia="黑体" w:cs="Times New Roman"/>
                          <w:b w:val="0"/>
                          <w:bCs w:val="0"/>
                          <w:color w:val="002071"/>
                          <w:kern w:val="2"/>
                          <w:sz w:val="52"/>
                          <w:szCs w:val="52"/>
                          <w:lang w:val="en-US" w:eastAsia="zh-CN" w:bidi="ar-SA"/>
                        </w:rPr>
                      </w:pPr>
                      <w:bookmarkStart w:id="142" w:name="_Toc440007486"/>
                      <w:bookmarkStart w:id="143" w:name="_Toc444776325"/>
                      <w:r>
                        <w:rPr>
                          <w:rFonts w:hint="eastAsia" w:ascii="黑体" w:hAnsi="Times New Roman" w:eastAsia="黑体" w:cs="Times New Roman"/>
                          <w:b w:val="0"/>
                          <w:bCs w:val="0"/>
                          <w:color w:val="002071"/>
                          <w:kern w:val="2"/>
                          <w:sz w:val="52"/>
                          <w:szCs w:val="52"/>
                          <w:lang w:val="en-US" w:eastAsia="zh-CN" w:bidi="ar-SA"/>
                        </w:rPr>
                        <w:t>信息安全管理体系认证实施方案</w:t>
                      </w:r>
                      <w:bookmarkEnd w:id="142"/>
                      <w:bookmarkEnd w:id="143"/>
                    </w:p>
                    <w:p>
                      <w:pPr>
                        <w:pStyle w:val="4"/>
                        <w:rPr>
                          <w:color w:val="002071"/>
                          <w:sz w:val="52"/>
                          <w:szCs w:val="52"/>
                        </w:rPr>
                      </w:pPr>
                    </w:p>
                  </w:txbxContent>
                </v:textbox>
              </v:shape>
            </w:pict>
          </mc:Fallback>
        </mc:AlternateConten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16"/>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CQM/S-FN-06-004</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2015年09月09日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月1</w:t>
            </w:r>
            <w:r>
              <w:rPr>
                <w:rFonts w:hint="eastAsia" w:ascii="隶书" w:hAnsi="思源黑体 CN Medium" w:eastAsia="隶书" w:cs="思源黑体 CN Medium"/>
                <w:color w:val="002071"/>
                <w:sz w:val="28"/>
                <w:szCs w:val="15"/>
                <w:highlight w:val="none"/>
                <w:lang w:val="en-US" w:eastAsia="zh-CN"/>
              </w:rPr>
              <w:t>0</w:t>
            </w:r>
            <w:r>
              <w:rPr>
                <w:rFonts w:hint="eastAsia" w:ascii="隶书" w:hAnsi="思源黑体 CN Medium" w:eastAsia="隶书" w:cs="思源黑体 CN Medium"/>
                <w:color w:val="002071"/>
                <w:sz w:val="28"/>
                <w:szCs w:val="15"/>
                <w:highlight w:val="none"/>
              </w:rPr>
              <w:t>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w:t>
            </w:r>
            <w:r>
              <w:rPr>
                <w:rFonts w:hint="eastAsia" w:ascii="隶书" w:hAnsi="思源黑体 CN Medium" w:eastAsia="隶书" w:cs="思源黑体 CN Medium"/>
                <w:color w:val="002071"/>
                <w:sz w:val="28"/>
                <w:szCs w:val="15"/>
                <w:highlight w:val="none"/>
                <w:lang w:val="en-US" w:eastAsia="zh-CN"/>
              </w:rPr>
              <w:t>06</w:t>
            </w:r>
            <w:r>
              <w:rPr>
                <w:rFonts w:hint="eastAsia" w:ascii="隶书" w:hAnsi="思源黑体 CN Medium" w:eastAsia="隶书" w:cs="思源黑体 CN Medium"/>
                <w:color w:val="002071"/>
                <w:sz w:val="28"/>
                <w:szCs w:val="15"/>
                <w:highlight w:val="none"/>
              </w:rPr>
              <w:t>月1</w:t>
            </w:r>
            <w:r>
              <w:rPr>
                <w:rFonts w:hint="eastAsia" w:ascii="隶书" w:hAnsi="思源黑体 CN Medium" w:eastAsia="隶书" w:cs="思源黑体 CN Medium"/>
                <w:color w:val="002071"/>
                <w:sz w:val="28"/>
                <w:szCs w:val="15"/>
                <w:highlight w:val="none"/>
                <w:lang w:val="en-US" w:eastAsia="zh-CN"/>
              </w:rPr>
              <w:t>0</w:t>
            </w:r>
            <w:r>
              <w:rPr>
                <w:rFonts w:hint="eastAsia" w:ascii="隶书" w:hAnsi="思源黑体 CN Medium" w:eastAsia="隶书" w:cs="思源黑体 CN Medium"/>
                <w:color w:val="002071"/>
                <w:sz w:val="28"/>
                <w:szCs w:val="15"/>
                <w:highlight w:val="none"/>
              </w:rPr>
              <w:t>日</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fmt="decimal" w:start="1"/>
          <w:cols w:space="425" w:num="1"/>
          <w:titlePg/>
          <w:docGrid w:type="lines" w:linePitch="312" w:charSpace="0"/>
        </w:sectPr>
      </w:pPr>
    </w:p>
    <w:p>
      <w:pPr>
        <w:spacing w:line="360" w:lineRule="auto"/>
        <w:rPr>
          <w:rFonts w:hint="eastAsia"/>
          <w:b/>
          <w:bCs/>
          <w:sz w:val="30"/>
          <w:highlight w:val="none"/>
        </w:rPr>
      </w:pPr>
      <w:r>
        <w:rPr>
          <w:highlight w:val="none"/>
        </w:rPr>
        <w:t xml:space="preserve"> </w:t>
      </w:r>
      <w:r>
        <w:rPr>
          <w:rFonts w:hint="eastAsia" w:ascii="黑体" w:hAnsi="宋体" w:eastAsia="黑体"/>
          <w:szCs w:val="21"/>
          <w:highlight w:val="none"/>
        </w:rPr>
        <w:t xml:space="preserve">                     </w:t>
      </w:r>
    </w:p>
    <w:p>
      <w:pPr>
        <w:ind w:firstLine="602" w:firstLineChars="200"/>
        <w:jc w:val="center"/>
        <w:outlineLvl w:val="0"/>
        <w:rPr>
          <w:b/>
          <w:bCs/>
          <w:sz w:val="30"/>
          <w:highlight w:val="none"/>
        </w:rPr>
      </w:pPr>
      <w:bookmarkStart w:id="0" w:name="_Toc14950"/>
      <w:bookmarkStart w:id="1" w:name="_Toc21511"/>
      <w:r>
        <w:rPr>
          <w:rFonts w:hint="eastAsia"/>
          <w:b/>
          <w:bCs/>
          <w:sz w:val="30"/>
          <w:highlight w:val="none"/>
        </w:rPr>
        <w:t>目    录</w:t>
      </w:r>
      <w:bookmarkEnd w:id="0"/>
      <w:bookmarkEnd w:id="1"/>
    </w:p>
    <w:p>
      <w:pPr>
        <w:outlineLvl w:val="9"/>
        <w:rPr>
          <w:highlight w:val="none"/>
        </w:rPr>
      </w:pPr>
    </w:p>
    <w:sdt>
      <w:sdtPr>
        <w:rPr>
          <w:rFonts w:ascii="宋体" w:hAnsi="宋体" w:eastAsia="宋体" w:cs="Times New Roman"/>
          <w:kern w:val="2"/>
          <w:sz w:val="21"/>
          <w:szCs w:val="24"/>
          <w:highlight w:val="none"/>
          <w:lang w:val="en-US" w:eastAsia="zh-CN" w:bidi="ar-SA"/>
        </w:rPr>
        <w:id w:val="147451798"/>
        <w15:color w:val="DBDBDB"/>
        <w:docPartObj>
          <w:docPartGallery w:val="Table of Contents"/>
          <w:docPartUnique/>
        </w:docPartObj>
      </w:sdtPr>
      <w:sdtEndPr>
        <w:rPr>
          <w:rFonts w:ascii="Times New Roman" w:hAnsi="Times New Roman" w:eastAsia="宋体" w:cs="Times New Roman"/>
          <w:kern w:val="2"/>
          <w:sz w:val="21"/>
          <w:szCs w:val="24"/>
          <w:highlight w:val="none"/>
          <w:lang w:val="en-US" w:eastAsia="zh-CN" w:bidi="ar-SA"/>
        </w:rPr>
      </w:sdtEndPr>
      <w:sdtContent>
        <w:p>
          <w:pPr>
            <w:outlineLvl w:val="9"/>
            <w:rPr>
              <w:rFonts w:ascii="Times New Roman" w:hAnsi="Times New Roman" w:eastAsia="宋体" w:cs="Times New Roman"/>
              <w:kern w:val="2"/>
              <w:sz w:val="21"/>
              <w:szCs w:val="24"/>
              <w:highlight w:val="none"/>
              <w:lang w:val="en-US" w:eastAsia="zh-CN" w:bidi="ar-SA"/>
            </w:rPr>
          </w:pPr>
          <w:r>
            <w:rPr>
              <w:highlight w:val="none"/>
            </w:rPr>
            <w:fldChar w:fldCharType="begin"/>
          </w:r>
          <w:r>
            <w:rPr>
              <w:highlight w:val="none"/>
            </w:rPr>
            <w:instrText xml:space="preserve">TOC \o "1-1" \h \u </w:instrText>
          </w:r>
          <w:r>
            <w:rPr>
              <w:highlight w:val="none"/>
            </w:rPr>
            <w:fldChar w:fldCharType="separate"/>
          </w:r>
        </w:p>
        <w:p>
          <w:pPr>
            <w:pStyle w:val="12"/>
            <w:tabs>
              <w:tab w:val="right" w:leader="dot" w:pos="8312"/>
            </w:tabs>
            <w:rPr>
              <w:highlight w:val="none"/>
            </w:rPr>
          </w:pPr>
          <w:r>
            <w:rPr>
              <w:highlight w:val="none"/>
            </w:rPr>
            <w:fldChar w:fldCharType="begin"/>
          </w:r>
          <w:r>
            <w:rPr>
              <w:highlight w:val="none"/>
            </w:rPr>
            <w:instrText xml:space="preserve"> HYPERLINK \l _Toc4452 </w:instrText>
          </w:r>
          <w:r>
            <w:rPr>
              <w:highlight w:val="none"/>
            </w:rPr>
            <w:fldChar w:fldCharType="separate"/>
          </w:r>
          <w:r>
            <w:rPr>
              <w:highlight w:val="none"/>
            </w:rPr>
            <w:t>1</w:t>
          </w:r>
          <w:r>
            <w:rPr>
              <w:rFonts w:hint="eastAsia"/>
              <w:highlight w:val="none"/>
            </w:rPr>
            <w:t xml:space="preserve"> </w:t>
          </w:r>
          <w:r>
            <w:rPr>
              <w:rFonts w:hint="eastAsia" w:ascii="宋体" w:hAnsi="宋体"/>
              <w:szCs w:val="24"/>
              <w:highlight w:val="none"/>
            </w:rPr>
            <w:t>适用范围</w:t>
          </w:r>
          <w:r>
            <w:rPr>
              <w:highlight w:val="none"/>
            </w:rPr>
            <w:tab/>
          </w:r>
          <w:r>
            <w:rPr>
              <w:highlight w:val="none"/>
            </w:rPr>
            <w:fldChar w:fldCharType="begin"/>
          </w:r>
          <w:r>
            <w:rPr>
              <w:highlight w:val="none"/>
            </w:rPr>
            <w:instrText xml:space="preserve"> PAGEREF _Toc4452 \h </w:instrText>
          </w:r>
          <w:r>
            <w:rPr>
              <w:highlight w:val="none"/>
            </w:rPr>
            <w:fldChar w:fldCharType="separate"/>
          </w:r>
          <w:r>
            <w:rPr>
              <w:highlight w:val="none"/>
            </w:rPr>
            <w:t>2</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_Toc11975 </w:instrText>
          </w:r>
          <w:r>
            <w:rPr>
              <w:highlight w:val="none"/>
            </w:rPr>
            <w:fldChar w:fldCharType="separate"/>
          </w:r>
          <w:r>
            <w:rPr>
              <w:rFonts w:hint="eastAsia" w:ascii="宋体" w:hAnsi="宋体"/>
              <w:szCs w:val="24"/>
              <w:highlight w:val="none"/>
            </w:rPr>
            <w:t xml:space="preserve">2 </w:t>
          </w:r>
          <w:r>
            <w:rPr>
              <w:rFonts w:hint="eastAsia" w:ascii="宋体" w:hAnsi="宋体"/>
              <w:szCs w:val="24"/>
              <w:highlight w:val="none"/>
              <w:lang w:val="en-US" w:eastAsia="zh-CN"/>
            </w:rPr>
            <w:t>认证依据和</w:t>
          </w:r>
          <w:r>
            <w:rPr>
              <w:rFonts w:hint="eastAsia" w:ascii="宋体" w:hAnsi="宋体"/>
              <w:szCs w:val="24"/>
              <w:highlight w:val="none"/>
            </w:rPr>
            <w:t>认证模式</w:t>
          </w:r>
          <w:r>
            <w:rPr>
              <w:highlight w:val="none"/>
            </w:rPr>
            <w:tab/>
          </w:r>
          <w:r>
            <w:rPr>
              <w:highlight w:val="none"/>
            </w:rPr>
            <w:fldChar w:fldCharType="begin"/>
          </w:r>
          <w:r>
            <w:rPr>
              <w:highlight w:val="none"/>
            </w:rPr>
            <w:instrText xml:space="preserve"> PAGEREF _Toc11975 \h </w:instrText>
          </w:r>
          <w:r>
            <w:rPr>
              <w:highlight w:val="none"/>
            </w:rPr>
            <w:fldChar w:fldCharType="separate"/>
          </w:r>
          <w:r>
            <w:rPr>
              <w:highlight w:val="none"/>
            </w:rPr>
            <w:t>2</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_Toc28045 </w:instrText>
          </w:r>
          <w:r>
            <w:rPr>
              <w:highlight w:val="none"/>
            </w:rPr>
            <w:fldChar w:fldCharType="separate"/>
          </w:r>
          <w:r>
            <w:rPr>
              <w:rFonts w:hint="eastAsia" w:ascii="宋体" w:hAnsi="宋体"/>
              <w:szCs w:val="24"/>
              <w:highlight w:val="none"/>
            </w:rPr>
            <w:t>3 认证过程流程图</w:t>
          </w:r>
          <w:r>
            <w:rPr>
              <w:highlight w:val="none"/>
            </w:rPr>
            <w:tab/>
          </w:r>
          <w:r>
            <w:rPr>
              <w:highlight w:val="none"/>
            </w:rPr>
            <w:fldChar w:fldCharType="begin"/>
          </w:r>
          <w:r>
            <w:rPr>
              <w:highlight w:val="none"/>
            </w:rPr>
            <w:instrText xml:space="preserve"> PAGEREF _Toc28045 \h </w:instrText>
          </w:r>
          <w:r>
            <w:rPr>
              <w:highlight w:val="none"/>
            </w:rPr>
            <w:fldChar w:fldCharType="separate"/>
          </w:r>
          <w:r>
            <w:rPr>
              <w:highlight w:val="none"/>
            </w:rPr>
            <w:t>2</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_Toc2011 </w:instrText>
          </w:r>
          <w:r>
            <w:rPr>
              <w:highlight w:val="none"/>
            </w:rPr>
            <w:fldChar w:fldCharType="separate"/>
          </w:r>
          <w:r>
            <w:rPr>
              <w:rFonts w:hint="eastAsia" w:ascii="宋体" w:hAnsi="宋体"/>
              <w:szCs w:val="24"/>
              <w:highlight w:val="none"/>
            </w:rPr>
            <w:t>4 认证申请</w:t>
          </w:r>
          <w:r>
            <w:rPr>
              <w:rFonts w:hint="eastAsia"/>
              <w:highlight w:val="none"/>
              <w:lang w:val="en-US" w:eastAsia="zh-CN"/>
            </w:rPr>
            <w:t>及评审</w:t>
          </w:r>
          <w:r>
            <w:rPr>
              <w:highlight w:val="none"/>
            </w:rPr>
            <w:tab/>
          </w:r>
          <w:r>
            <w:rPr>
              <w:highlight w:val="none"/>
            </w:rPr>
            <w:fldChar w:fldCharType="begin"/>
          </w:r>
          <w:r>
            <w:rPr>
              <w:highlight w:val="none"/>
            </w:rPr>
            <w:instrText xml:space="preserve"> PAGEREF _Toc2011 \h </w:instrText>
          </w:r>
          <w:r>
            <w:rPr>
              <w:highlight w:val="none"/>
            </w:rPr>
            <w:fldChar w:fldCharType="separate"/>
          </w:r>
          <w:r>
            <w:rPr>
              <w:highlight w:val="none"/>
            </w:rPr>
            <w:t>3</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_Toc8898 </w:instrText>
          </w:r>
          <w:r>
            <w:rPr>
              <w:highlight w:val="none"/>
            </w:rPr>
            <w:fldChar w:fldCharType="separate"/>
          </w:r>
          <w:r>
            <w:rPr>
              <w:rFonts w:hint="eastAsia" w:ascii="Arial" w:hAnsi="Arial" w:cs="Arial"/>
              <w:highlight w:val="none"/>
              <w:lang w:val="en-US" w:eastAsia="zh-CN"/>
            </w:rPr>
            <w:t>4.1</w:t>
          </w:r>
          <w:r>
            <w:rPr>
              <w:rFonts w:hint="eastAsia" w:ascii="Arial" w:hAnsi="Arial" w:eastAsia="宋体" w:cs="Arial"/>
              <w:highlight w:val="none"/>
              <w:lang w:val="en-US" w:eastAsia="zh-CN"/>
            </w:rPr>
            <w:t xml:space="preserve"> 申请条件</w:t>
          </w:r>
          <w:r>
            <w:rPr>
              <w:highlight w:val="none"/>
            </w:rPr>
            <w:tab/>
          </w:r>
          <w:r>
            <w:rPr>
              <w:highlight w:val="none"/>
            </w:rPr>
            <w:fldChar w:fldCharType="begin"/>
          </w:r>
          <w:r>
            <w:rPr>
              <w:highlight w:val="none"/>
            </w:rPr>
            <w:instrText xml:space="preserve"> PAGEREF _Toc8898 \h </w:instrText>
          </w:r>
          <w:r>
            <w:rPr>
              <w:highlight w:val="none"/>
            </w:rPr>
            <w:fldChar w:fldCharType="separate"/>
          </w:r>
          <w:r>
            <w:rPr>
              <w:highlight w:val="none"/>
            </w:rPr>
            <w:t>3</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_Toc2953 </w:instrText>
          </w:r>
          <w:r>
            <w:rPr>
              <w:highlight w:val="none"/>
            </w:rPr>
            <w:fldChar w:fldCharType="separate"/>
          </w:r>
          <w:r>
            <w:rPr>
              <w:rFonts w:hint="eastAsia" w:ascii="宋体" w:hAnsi="宋体"/>
              <w:highlight w:val="none"/>
              <w:lang w:val="en-US" w:eastAsia="zh-CN"/>
            </w:rPr>
            <w:t>5 审核方案策划</w:t>
          </w:r>
          <w:r>
            <w:rPr>
              <w:highlight w:val="none"/>
            </w:rPr>
            <w:tab/>
          </w:r>
          <w:r>
            <w:rPr>
              <w:highlight w:val="none"/>
            </w:rPr>
            <w:fldChar w:fldCharType="begin"/>
          </w:r>
          <w:r>
            <w:rPr>
              <w:highlight w:val="none"/>
            </w:rPr>
            <w:instrText xml:space="preserve"> PAGEREF _Toc2953 \h </w:instrText>
          </w:r>
          <w:r>
            <w:rPr>
              <w:highlight w:val="none"/>
            </w:rPr>
            <w:fldChar w:fldCharType="separate"/>
          </w:r>
          <w:r>
            <w:rPr>
              <w:highlight w:val="none"/>
            </w:rPr>
            <w:t>4</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_Toc32748 </w:instrText>
          </w:r>
          <w:r>
            <w:rPr>
              <w:highlight w:val="none"/>
            </w:rPr>
            <w:fldChar w:fldCharType="separate"/>
          </w:r>
          <w:r>
            <w:rPr>
              <w:rFonts w:hint="eastAsia" w:ascii="宋体" w:hAnsi="宋体"/>
              <w:szCs w:val="24"/>
              <w:highlight w:val="none"/>
              <w:lang w:val="en-US" w:eastAsia="zh-CN"/>
            </w:rPr>
            <w:t>6</w:t>
          </w:r>
          <w:r>
            <w:rPr>
              <w:rFonts w:hint="eastAsia" w:ascii="宋体" w:hAnsi="宋体"/>
              <w:szCs w:val="24"/>
              <w:highlight w:val="none"/>
            </w:rPr>
            <w:t xml:space="preserve"> 审核实施</w:t>
          </w:r>
          <w:r>
            <w:rPr>
              <w:highlight w:val="none"/>
            </w:rPr>
            <w:tab/>
          </w:r>
          <w:r>
            <w:rPr>
              <w:highlight w:val="none"/>
            </w:rPr>
            <w:fldChar w:fldCharType="begin"/>
          </w:r>
          <w:r>
            <w:rPr>
              <w:highlight w:val="none"/>
            </w:rPr>
            <w:instrText xml:space="preserve"> PAGEREF _Toc32748 \h </w:instrText>
          </w:r>
          <w:r>
            <w:rPr>
              <w:highlight w:val="none"/>
            </w:rPr>
            <w:fldChar w:fldCharType="separate"/>
          </w:r>
          <w:r>
            <w:rPr>
              <w:highlight w:val="none"/>
            </w:rPr>
            <w:t>5</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_Toc17673 </w:instrText>
          </w:r>
          <w:r>
            <w:rPr>
              <w:highlight w:val="none"/>
            </w:rPr>
            <w:fldChar w:fldCharType="separate"/>
          </w:r>
          <w:r>
            <w:rPr>
              <w:rFonts w:hint="eastAsia" w:ascii="宋体" w:hAnsi="宋体"/>
              <w:highlight w:val="none"/>
              <w:lang w:val="en-US" w:eastAsia="zh-CN"/>
            </w:rPr>
            <w:t>7</w:t>
          </w:r>
          <w:r>
            <w:rPr>
              <w:rFonts w:hint="eastAsia" w:ascii="宋体" w:hAnsi="宋体"/>
              <w:highlight w:val="none"/>
            </w:rPr>
            <w:t xml:space="preserve"> 不符合</w:t>
          </w:r>
          <w:r>
            <w:rPr>
              <w:highlight w:val="none"/>
            </w:rPr>
            <w:tab/>
          </w:r>
          <w:r>
            <w:rPr>
              <w:highlight w:val="none"/>
            </w:rPr>
            <w:fldChar w:fldCharType="begin"/>
          </w:r>
          <w:r>
            <w:rPr>
              <w:highlight w:val="none"/>
            </w:rPr>
            <w:instrText xml:space="preserve"> PAGEREF _Toc17673 \h </w:instrText>
          </w:r>
          <w:r>
            <w:rPr>
              <w:highlight w:val="none"/>
            </w:rPr>
            <w:fldChar w:fldCharType="separate"/>
          </w:r>
          <w:r>
            <w:rPr>
              <w:highlight w:val="none"/>
            </w:rPr>
            <w:t>9</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_Toc17300 </w:instrText>
          </w:r>
          <w:r>
            <w:rPr>
              <w:highlight w:val="none"/>
            </w:rPr>
            <w:fldChar w:fldCharType="separate"/>
          </w:r>
          <w:r>
            <w:rPr>
              <w:rFonts w:hint="eastAsia" w:ascii="宋体" w:hAnsi="宋体"/>
              <w:highlight w:val="none"/>
              <w:lang w:val="en-US" w:eastAsia="zh-CN"/>
            </w:rPr>
            <w:t>8</w:t>
          </w:r>
          <w:r>
            <w:rPr>
              <w:rFonts w:hint="eastAsia" w:ascii="宋体" w:hAnsi="宋体"/>
              <w:highlight w:val="none"/>
            </w:rPr>
            <w:t xml:space="preserve"> 审核报告</w:t>
          </w:r>
          <w:r>
            <w:rPr>
              <w:highlight w:val="none"/>
            </w:rPr>
            <w:tab/>
          </w:r>
          <w:r>
            <w:rPr>
              <w:highlight w:val="none"/>
            </w:rPr>
            <w:fldChar w:fldCharType="begin"/>
          </w:r>
          <w:r>
            <w:rPr>
              <w:highlight w:val="none"/>
            </w:rPr>
            <w:instrText xml:space="preserve"> PAGEREF _Toc17300 \h </w:instrText>
          </w:r>
          <w:r>
            <w:rPr>
              <w:highlight w:val="none"/>
            </w:rPr>
            <w:fldChar w:fldCharType="separate"/>
          </w:r>
          <w:r>
            <w:rPr>
              <w:highlight w:val="none"/>
            </w:rPr>
            <w:t>9</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_Toc67 </w:instrText>
          </w:r>
          <w:r>
            <w:rPr>
              <w:highlight w:val="none"/>
            </w:rPr>
            <w:fldChar w:fldCharType="separate"/>
          </w:r>
          <w:r>
            <w:rPr>
              <w:rFonts w:hint="eastAsia" w:ascii="宋体" w:hAnsi="宋体"/>
              <w:highlight w:val="none"/>
              <w:lang w:val="en-US" w:eastAsia="zh-CN"/>
            </w:rPr>
            <w:t>9</w:t>
          </w:r>
          <w:r>
            <w:rPr>
              <w:rFonts w:hint="eastAsia" w:ascii="宋体" w:hAnsi="宋体"/>
              <w:highlight w:val="none"/>
            </w:rPr>
            <w:t xml:space="preserve"> 认证决定</w:t>
          </w:r>
          <w:r>
            <w:rPr>
              <w:highlight w:val="none"/>
            </w:rPr>
            <w:tab/>
          </w:r>
          <w:r>
            <w:rPr>
              <w:highlight w:val="none"/>
            </w:rPr>
            <w:fldChar w:fldCharType="begin"/>
          </w:r>
          <w:r>
            <w:rPr>
              <w:highlight w:val="none"/>
            </w:rPr>
            <w:instrText xml:space="preserve"> PAGEREF _Toc67 \h </w:instrText>
          </w:r>
          <w:r>
            <w:rPr>
              <w:highlight w:val="none"/>
            </w:rPr>
            <w:fldChar w:fldCharType="separate"/>
          </w:r>
          <w:r>
            <w:rPr>
              <w:highlight w:val="none"/>
            </w:rPr>
            <w:t>10</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_Toc31604 </w:instrText>
          </w:r>
          <w:r>
            <w:rPr>
              <w:highlight w:val="none"/>
            </w:rPr>
            <w:fldChar w:fldCharType="separate"/>
          </w:r>
          <w:r>
            <w:rPr>
              <w:rFonts w:hint="eastAsia"/>
              <w:highlight w:val="none"/>
              <w:lang w:val="en-US" w:eastAsia="zh-CN"/>
            </w:rPr>
            <w:t>10</w:t>
          </w:r>
          <w:r>
            <w:rPr>
              <w:rFonts w:hint="eastAsia"/>
              <w:highlight w:val="none"/>
            </w:rPr>
            <w:t xml:space="preserve"> 认证的批准、</w:t>
          </w:r>
          <w:r>
            <w:rPr>
              <w:rFonts w:hint="eastAsia"/>
              <w:highlight w:val="none"/>
              <w:lang w:eastAsia="zh-CN"/>
            </w:rPr>
            <w:t>拒绝、</w:t>
          </w:r>
          <w:r>
            <w:rPr>
              <w:rFonts w:hint="eastAsia"/>
              <w:highlight w:val="none"/>
            </w:rPr>
            <w:t>保持、扩大、缩小、暂停、恢复和撤销的条件和程序</w:t>
          </w:r>
          <w:r>
            <w:rPr>
              <w:highlight w:val="none"/>
            </w:rPr>
            <w:tab/>
          </w:r>
          <w:r>
            <w:rPr>
              <w:highlight w:val="none"/>
            </w:rPr>
            <w:fldChar w:fldCharType="begin"/>
          </w:r>
          <w:r>
            <w:rPr>
              <w:highlight w:val="none"/>
            </w:rPr>
            <w:instrText xml:space="preserve"> PAGEREF _Toc31604 \h </w:instrText>
          </w:r>
          <w:r>
            <w:rPr>
              <w:highlight w:val="none"/>
            </w:rPr>
            <w:fldChar w:fldCharType="separate"/>
          </w:r>
          <w:r>
            <w:rPr>
              <w:highlight w:val="none"/>
            </w:rPr>
            <w:t>10</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_Toc10134 </w:instrText>
          </w:r>
          <w:r>
            <w:rPr>
              <w:highlight w:val="none"/>
            </w:rPr>
            <w:fldChar w:fldCharType="separate"/>
          </w:r>
          <w:r>
            <w:rPr>
              <w:rFonts w:hint="eastAsia" w:ascii="宋体" w:hAnsi="宋体"/>
              <w:highlight w:val="none"/>
              <w:lang w:val="en-US" w:eastAsia="zh-CN"/>
            </w:rPr>
            <w:t>11</w:t>
          </w:r>
          <w:r>
            <w:rPr>
              <w:rFonts w:hint="eastAsia" w:ascii="宋体" w:hAnsi="宋体"/>
              <w:highlight w:val="none"/>
            </w:rPr>
            <w:t xml:space="preserve"> 认证证书和认证标志</w:t>
          </w:r>
          <w:r>
            <w:rPr>
              <w:highlight w:val="none"/>
            </w:rPr>
            <w:tab/>
          </w:r>
          <w:r>
            <w:rPr>
              <w:highlight w:val="none"/>
            </w:rPr>
            <w:fldChar w:fldCharType="begin"/>
          </w:r>
          <w:r>
            <w:rPr>
              <w:highlight w:val="none"/>
            </w:rPr>
            <w:instrText xml:space="preserve"> PAGEREF _Toc10134 \h </w:instrText>
          </w:r>
          <w:r>
            <w:rPr>
              <w:highlight w:val="none"/>
            </w:rPr>
            <w:fldChar w:fldCharType="separate"/>
          </w:r>
          <w:r>
            <w:rPr>
              <w:highlight w:val="none"/>
            </w:rPr>
            <w:t>19</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_Toc30139 </w:instrText>
          </w:r>
          <w:r>
            <w:rPr>
              <w:highlight w:val="none"/>
            </w:rPr>
            <w:fldChar w:fldCharType="separate"/>
          </w:r>
          <w:r>
            <w:rPr>
              <w:rFonts w:hint="eastAsia" w:ascii="宋体" w:hAnsi="宋体"/>
              <w:highlight w:val="none"/>
              <w:lang w:val="en-US" w:eastAsia="zh-CN"/>
            </w:rPr>
            <w:t>12</w:t>
          </w:r>
          <w:r>
            <w:rPr>
              <w:rFonts w:hint="eastAsia" w:ascii="宋体" w:hAnsi="宋体"/>
              <w:highlight w:val="none"/>
            </w:rPr>
            <w:t xml:space="preserve"> </w:t>
          </w:r>
          <w:r>
            <w:rPr>
              <w:rFonts w:hint="eastAsia" w:ascii="宋体" w:hAnsi="宋体"/>
              <w:highlight w:val="none"/>
              <w:lang w:eastAsia="zh-CN"/>
            </w:rPr>
            <w:t>获证客户的</w:t>
          </w:r>
          <w:r>
            <w:rPr>
              <w:rFonts w:hint="eastAsia" w:ascii="宋体" w:hAnsi="宋体"/>
              <w:highlight w:val="none"/>
            </w:rPr>
            <w:t>信息通报</w:t>
          </w:r>
          <w:r>
            <w:rPr>
              <w:highlight w:val="none"/>
            </w:rPr>
            <w:tab/>
          </w:r>
          <w:r>
            <w:rPr>
              <w:highlight w:val="none"/>
            </w:rPr>
            <w:fldChar w:fldCharType="begin"/>
          </w:r>
          <w:r>
            <w:rPr>
              <w:highlight w:val="none"/>
            </w:rPr>
            <w:instrText xml:space="preserve"> PAGEREF _Toc30139 \h </w:instrText>
          </w:r>
          <w:r>
            <w:rPr>
              <w:highlight w:val="none"/>
            </w:rPr>
            <w:fldChar w:fldCharType="separate"/>
          </w:r>
          <w:r>
            <w:rPr>
              <w:highlight w:val="none"/>
            </w:rPr>
            <w:t>20</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_Toc20636 </w:instrText>
          </w:r>
          <w:r>
            <w:rPr>
              <w:highlight w:val="none"/>
            </w:rPr>
            <w:fldChar w:fldCharType="separate"/>
          </w:r>
          <w:r>
            <w:rPr>
              <w:rFonts w:hint="eastAsia" w:ascii="宋体" w:hAnsi="宋体"/>
              <w:highlight w:val="none"/>
              <w:lang w:val="en-US" w:eastAsia="zh-CN"/>
            </w:rPr>
            <w:t>13</w:t>
          </w:r>
          <w:r>
            <w:rPr>
              <w:rFonts w:hint="eastAsia" w:ascii="宋体" w:hAnsi="宋体"/>
              <w:highlight w:val="none"/>
            </w:rPr>
            <w:t xml:space="preserve"> 认证要求变更</w:t>
          </w:r>
          <w:r>
            <w:rPr>
              <w:rFonts w:hint="eastAsia" w:ascii="宋体" w:hAnsi="宋体"/>
              <w:highlight w:val="none"/>
              <w:lang w:eastAsia="zh-CN"/>
            </w:rPr>
            <w:t>的条件和程序</w:t>
          </w:r>
          <w:r>
            <w:rPr>
              <w:highlight w:val="none"/>
            </w:rPr>
            <w:tab/>
          </w:r>
          <w:r>
            <w:rPr>
              <w:highlight w:val="none"/>
            </w:rPr>
            <w:fldChar w:fldCharType="begin"/>
          </w:r>
          <w:r>
            <w:rPr>
              <w:highlight w:val="none"/>
            </w:rPr>
            <w:instrText xml:space="preserve"> PAGEREF _Toc20636 \h </w:instrText>
          </w:r>
          <w:r>
            <w:rPr>
              <w:highlight w:val="none"/>
            </w:rPr>
            <w:fldChar w:fldCharType="separate"/>
          </w:r>
          <w:r>
            <w:rPr>
              <w:highlight w:val="none"/>
            </w:rPr>
            <w:t>21</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_Toc31031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r>
            <w:rPr>
              <w:highlight w:val="none"/>
            </w:rPr>
            <w:tab/>
          </w:r>
          <w:r>
            <w:rPr>
              <w:highlight w:val="none"/>
            </w:rPr>
            <w:fldChar w:fldCharType="begin"/>
          </w:r>
          <w:r>
            <w:rPr>
              <w:highlight w:val="none"/>
            </w:rPr>
            <w:instrText xml:space="preserve"> PAGEREF _Toc31031 \h </w:instrText>
          </w:r>
          <w:r>
            <w:rPr>
              <w:highlight w:val="none"/>
            </w:rPr>
            <w:fldChar w:fldCharType="separate"/>
          </w:r>
          <w:r>
            <w:rPr>
              <w:highlight w:val="none"/>
            </w:rPr>
            <w:t>21</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_Toc30747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r>
            <w:rPr>
              <w:highlight w:val="none"/>
            </w:rPr>
            <w:tab/>
          </w:r>
          <w:r>
            <w:rPr>
              <w:highlight w:val="none"/>
            </w:rPr>
            <w:fldChar w:fldCharType="begin"/>
          </w:r>
          <w:r>
            <w:rPr>
              <w:highlight w:val="none"/>
            </w:rPr>
            <w:instrText xml:space="preserve"> PAGEREF _Toc30747 \h </w:instrText>
          </w:r>
          <w:r>
            <w:rPr>
              <w:highlight w:val="none"/>
            </w:rPr>
            <w:fldChar w:fldCharType="separate"/>
          </w:r>
          <w:r>
            <w:rPr>
              <w:highlight w:val="none"/>
            </w:rPr>
            <w:t>22</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_Toc25600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r>
            <w:rPr>
              <w:highlight w:val="none"/>
            </w:rPr>
            <w:tab/>
          </w:r>
          <w:r>
            <w:rPr>
              <w:highlight w:val="none"/>
            </w:rPr>
            <w:fldChar w:fldCharType="begin"/>
          </w:r>
          <w:r>
            <w:rPr>
              <w:highlight w:val="none"/>
            </w:rPr>
            <w:instrText xml:space="preserve"> PAGEREF _Toc25600 \h </w:instrText>
          </w:r>
          <w:r>
            <w:rPr>
              <w:highlight w:val="none"/>
            </w:rPr>
            <w:fldChar w:fldCharType="separate"/>
          </w:r>
          <w:r>
            <w:rPr>
              <w:highlight w:val="none"/>
            </w:rPr>
            <w:t>22</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_Toc11918 </w:instrText>
          </w:r>
          <w:r>
            <w:rPr>
              <w:highlight w:val="none"/>
            </w:rPr>
            <w:fldChar w:fldCharType="separate"/>
          </w:r>
          <w:r>
            <w:rPr>
              <w:rFonts w:hint="eastAsia"/>
              <w:highlight w:val="none"/>
            </w:rPr>
            <w:t>1</w:t>
          </w:r>
          <w:r>
            <w:rPr>
              <w:rFonts w:hint="eastAsia"/>
              <w:highlight w:val="none"/>
              <w:lang w:val="en-US" w:eastAsia="zh-CN"/>
            </w:rPr>
            <w:t>7</w:t>
          </w:r>
          <w:r>
            <w:rPr>
              <w:rFonts w:hint="eastAsia"/>
              <w:highlight w:val="none"/>
            </w:rPr>
            <w:t xml:space="preserve"> 公告</w:t>
          </w:r>
          <w:r>
            <w:rPr>
              <w:highlight w:val="none"/>
            </w:rPr>
            <w:tab/>
          </w:r>
          <w:r>
            <w:rPr>
              <w:highlight w:val="none"/>
            </w:rPr>
            <w:fldChar w:fldCharType="begin"/>
          </w:r>
          <w:r>
            <w:rPr>
              <w:highlight w:val="none"/>
            </w:rPr>
            <w:instrText xml:space="preserve"> PAGEREF _Toc11918 \h </w:instrText>
          </w:r>
          <w:r>
            <w:rPr>
              <w:highlight w:val="none"/>
            </w:rPr>
            <w:fldChar w:fldCharType="separate"/>
          </w:r>
          <w:r>
            <w:rPr>
              <w:highlight w:val="none"/>
            </w:rPr>
            <w:t>22</w:t>
          </w:r>
          <w:r>
            <w:rPr>
              <w:highlight w:val="none"/>
            </w:rPr>
            <w:fldChar w:fldCharType="end"/>
          </w:r>
          <w:r>
            <w:rPr>
              <w:highlight w:val="none"/>
            </w:rPr>
            <w:fldChar w:fldCharType="end"/>
          </w:r>
        </w:p>
        <w:p>
          <w:pPr>
            <w:pStyle w:val="12"/>
            <w:tabs>
              <w:tab w:val="right" w:leader="dot" w:pos="8312"/>
            </w:tabs>
            <w:rPr>
              <w:highlight w:val="none"/>
            </w:rPr>
          </w:pPr>
          <w:r>
            <w:rPr>
              <w:highlight w:val="none"/>
            </w:rPr>
            <w:fldChar w:fldCharType="begin"/>
          </w:r>
          <w:r>
            <w:rPr>
              <w:highlight w:val="none"/>
            </w:rPr>
            <w:instrText xml:space="preserve"> HYPERLINK \l _Toc3168 </w:instrText>
          </w:r>
          <w:r>
            <w:rPr>
              <w:highlight w:val="none"/>
            </w:rPr>
            <w:fldChar w:fldCharType="separate"/>
          </w:r>
          <w:r>
            <w:rPr>
              <w:rFonts w:hint="eastAsia"/>
              <w:highlight w:val="none"/>
            </w:rPr>
            <w:t>1</w:t>
          </w:r>
          <w:r>
            <w:rPr>
              <w:rFonts w:hint="eastAsia"/>
              <w:highlight w:val="none"/>
              <w:lang w:val="en-US" w:eastAsia="zh-CN"/>
            </w:rPr>
            <w:t>8</w:t>
          </w:r>
          <w:r>
            <w:rPr>
              <w:rFonts w:hint="eastAsia"/>
              <w:highlight w:val="none"/>
            </w:rPr>
            <w:t xml:space="preserve"> 附则</w:t>
          </w:r>
          <w:r>
            <w:rPr>
              <w:highlight w:val="none"/>
            </w:rPr>
            <w:tab/>
          </w:r>
          <w:r>
            <w:rPr>
              <w:highlight w:val="none"/>
            </w:rPr>
            <w:fldChar w:fldCharType="begin"/>
          </w:r>
          <w:r>
            <w:rPr>
              <w:highlight w:val="none"/>
            </w:rPr>
            <w:instrText xml:space="preserve"> PAGEREF _Toc3168 \h </w:instrText>
          </w:r>
          <w:r>
            <w:rPr>
              <w:highlight w:val="none"/>
            </w:rPr>
            <w:fldChar w:fldCharType="separate"/>
          </w:r>
          <w:r>
            <w:rPr>
              <w:highlight w:val="none"/>
            </w:rPr>
            <w:t>22</w:t>
          </w:r>
          <w:r>
            <w:rPr>
              <w:highlight w:val="none"/>
            </w:rPr>
            <w:fldChar w:fldCharType="end"/>
          </w:r>
          <w:r>
            <w:rPr>
              <w:highlight w:val="none"/>
            </w:rPr>
            <w:fldChar w:fldCharType="end"/>
          </w:r>
        </w:p>
        <w:p>
          <w:pPr>
            <w:pStyle w:val="23"/>
            <w:tabs>
              <w:tab w:val="right" w:leader="dot" w:pos="8312"/>
            </w:tabs>
            <w:outlineLvl w:val="9"/>
            <w:rPr>
              <w:rFonts w:ascii="Times New Roman" w:hAnsi="Times New Roman" w:eastAsia="宋体" w:cs="Times New Roman"/>
              <w:kern w:val="2"/>
              <w:sz w:val="21"/>
              <w:szCs w:val="24"/>
              <w:highlight w:val="none"/>
              <w:lang w:val="en-US" w:eastAsia="zh-CN" w:bidi="ar-SA"/>
            </w:rPr>
          </w:pPr>
          <w:r>
            <w:rPr>
              <w:highlight w:val="none"/>
            </w:rPr>
            <w:fldChar w:fldCharType="end"/>
          </w:r>
        </w:p>
      </w:sdtContent>
    </w:sdt>
    <w:p>
      <w:pPr>
        <w:outlineLvl w:val="9"/>
        <w:rPr>
          <w:rFonts w:ascii="Times New Roman" w:hAnsi="Times New Roman" w:eastAsia="宋体" w:cs="Times New Roman"/>
          <w:kern w:val="2"/>
          <w:sz w:val="21"/>
          <w:szCs w:val="24"/>
          <w:highlight w:val="none"/>
          <w:lang w:val="en-US" w:eastAsia="zh-CN" w:bidi="ar-SA"/>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spacing w:before="469" w:beforeLines="150"/>
        <w:jc w:val="center"/>
        <w:outlineLvl w:val="0"/>
        <w:rPr>
          <w:rFonts w:hint="eastAsia" w:ascii="黑体" w:hAnsi="黑体" w:eastAsia="黑体"/>
          <w:sz w:val="36"/>
          <w:szCs w:val="36"/>
          <w:highlight w:val="none"/>
        </w:rPr>
      </w:pPr>
      <w:bookmarkStart w:id="2" w:name="_Toc28456"/>
      <w:bookmarkStart w:id="3" w:name="_Toc3624"/>
      <w:bookmarkStart w:id="4" w:name="_Toc444776326"/>
      <w:bookmarkStart w:id="5" w:name="_Toc440007487"/>
      <w:r>
        <w:rPr>
          <w:rFonts w:hint="eastAsia" w:ascii="黑体" w:hAnsi="黑体" w:eastAsia="黑体"/>
          <w:bCs/>
          <w:sz w:val="36"/>
          <w:szCs w:val="36"/>
          <w:highlight w:val="none"/>
        </w:rPr>
        <w:t>信息安全管理</w:t>
      </w:r>
      <w:bookmarkEnd w:id="2"/>
      <w:r>
        <w:rPr>
          <w:rFonts w:hint="eastAsia" w:ascii="黑体" w:hAnsi="黑体" w:eastAsia="黑体"/>
          <w:bCs/>
          <w:sz w:val="36"/>
          <w:szCs w:val="36"/>
          <w:highlight w:val="none"/>
        </w:rPr>
        <w:t>体系</w:t>
      </w:r>
      <w:r>
        <w:rPr>
          <w:rFonts w:hint="eastAsia" w:ascii="黑体" w:hAnsi="黑体" w:eastAsia="黑体"/>
          <w:sz w:val="36"/>
          <w:szCs w:val="36"/>
          <w:highlight w:val="none"/>
        </w:rPr>
        <w:t>认证实施方案</w:t>
      </w:r>
      <w:bookmarkEnd w:id="3"/>
    </w:p>
    <w:bookmarkEnd w:id="4"/>
    <w:bookmarkEnd w:id="5"/>
    <w:p>
      <w:pPr>
        <w:pStyle w:val="2"/>
        <w:spacing w:line="360" w:lineRule="auto"/>
        <w:outlineLvl w:val="9"/>
        <w:rPr>
          <w:rFonts w:hint="eastAsia"/>
          <w:highlight w:val="none"/>
          <w:lang w:eastAsia="zh-CN"/>
        </w:rPr>
      </w:pPr>
      <w:bookmarkStart w:id="6" w:name="_Toc444776327"/>
      <w:bookmarkStart w:id="7" w:name="_Toc85256247"/>
      <w:bookmarkStart w:id="8" w:name="_Toc85105511"/>
      <w:bookmarkStart w:id="9" w:name="_Toc85103622"/>
      <w:bookmarkStart w:id="10" w:name="_Toc185325622"/>
    </w:p>
    <w:p>
      <w:pPr>
        <w:pStyle w:val="2"/>
        <w:spacing w:line="360" w:lineRule="auto"/>
        <w:rPr>
          <w:rFonts w:hint="eastAsia"/>
          <w:highlight w:val="none"/>
          <w:lang w:eastAsia="zh-CN"/>
        </w:rPr>
      </w:pPr>
      <w:bookmarkStart w:id="11" w:name="_Toc4452"/>
      <w:bookmarkStart w:id="12" w:name="_Toc16544"/>
      <w:r>
        <w:rPr>
          <w:highlight w:val="none"/>
        </w:rPr>
        <w:t>1</w:t>
      </w:r>
      <w:r>
        <w:rPr>
          <w:rFonts w:hint="eastAsia"/>
          <w:highlight w:val="none"/>
        </w:rPr>
        <w:t xml:space="preserve"> </w:t>
      </w:r>
      <w:r>
        <w:rPr>
          <w:rFonts w:hint="eastAsia" w:ascii="宋体" w:hAnsi="宋体"/>
          <w:szCs w:val="24"/>
          <w:highlight w:val="none"/>
        </w:rPr>
        <w:t>适用范围</w:t>
      </w:r>
      <w:bookmarkEnd w:id="6"/>
      <w:bookmarkEnd w:id="7"/>
      <w:bookmarkEnd w:id="8"/>
      <w:bookmarkEnd w:id="9"/>
      <w:bookmarkEnd w:id="10"/>
      <w:bookmarkEnd w:id="11"/>
      <w:bookmarkEnd w:id="12"/>
    </w:p>
    <w:p>
      <w:pPr>
        <w:spacing w:line="360" w:lineRule="auto"/>
        <w:ind w:firstLine="480" w:firstLineChars="200"/>
        <w:rPr>
          <w:rFonts w:hint="eastAsia" w:ascii="宋体" w:hAnsi="宋体"/>
          <w:sz w:val="24"/>
          <w:highlight w:val="none"/>
        </w:rPr>
      </w:pPr>
      <w:r>
        <w:rPr>
          <w:rFonts w:hint="eastAsia" w:ascii="宋体" w:hAnsi="宋体"/>
          <w:sz w:val="24"/>
          <w:highlight w:val="none"/>
        </w:rPr>
        <w:t>本认证方案适用于方圆标志认证集团有限公司（以下简称：CQM）实施信息安全管理体系认证，满足第三方认证制度要求，作为提供认证服务的规范。必要时，在认证合同中补充相关的技术要求。</w:t>
      </w:r>
    </w:p>
    <w:p>
      <w:pPr>
        <w:spacing w:line="360" w:lineRule="auto"/>
        <w:ind w:firstLine="480" w:firstLineChars="200"/>
        <w:rPr>
          <w:rFonts w:hint="eastAsia" w:ascii="宋体" w:hAnsi="宋体"/>
          <w:sz w:val="24"/>
          <w:highlight w:val="none"/>
        </w:rPr>
      </w:pPr>
      <w:r>
        <w:rPr>
          <w:rFonts w:hint="eastAsia" w:ascii="宋体" w:hAnsi="宋体"/>
          <w:sz w:val="24"/>
          <w:highlight w:val="none"/>
        </w:rPr>
        <w:t>本认证方案在认证双方签订合同时予以确认和采用。</w:t>
      </w:r>
      <w:bookmarkStart w:id="13" w:name="_Toc33600362"/>
      <w:bookmarkStart w:id="14" w:name="_Toc33599704"/>
      <w:bookmarkStart w:id="15" w:name="_Toc33598531"/>
      <w:bookmarkStart w:id="16" w:name="_Toc85256248"/>
      <w:bookmarkStart w:id="17" w:name="_Toc33598902"/>
      <w:bookmarkStart w:id="18" w:name="_Toc33598962"/>
      <w:bookmarkStart w:id="19" w:name="_Toc33600411"/>
      <w:bookmarkStart w:id="20" w:name="_Toc85105512"/>
      <w:bookmarkStart w:id="21" w:name="_Toc85103623"/>
      <w:bookmarkStart w:id="22" w:name="_Toc33599577"/>
    </w:p>
    <w:p>
      <w:pPr>
        <w:spacing w:line="360" w:lineRule="auto"/>
        <w:ind w:firstLine="480" w:firstLineChars="200"/>
        <w:rPr>
          <w:rFonts w:hint="eastAsia" w:ascii="宋体" w:hAnsi="宋体"/>
          <w:sz w:val="24"/>
          <w:highlight w:val="none"/>
        </w:rPr>
      </w:pPr>
    </w:p>
    <w:p>
      <w:pPr>
        <w:pStyle w:val="2"/>
        <w:spacing w:line="360" w:lineRule="auto"/>
        <w:rPr>
          <w:rFonts w:hint="eastAsia" w:ascii="宋体" w:hAnsi="宋体"/>
          <w:szCs w:val="24"/>
          <w:highlight w:val="none"/>
        </w:rPr>
      </w:pPr>
      <w:bookmarkStart w:id="23" w:name="_Toc1146"/>
      <w:bookmarkStart w:id="24" w:name="_Toc185325623"/>
      <w:bookmarkStart w:id="25" w:name="_Toc11975"/>
      <w:bookmarkStart w:id="26" w:name="_Toc444776328"/>
      <w:r>
        <w:rPr>
          <w:rFonts w:hint="eastAsia" w:ascii="宋体" w:hAnsi="宋体"/>
          <w:szCs w:val="24"/>
          <w:highlight w:val="none"/>
        </w:rPr>
        <w:t xml:space="preserve">2 </w:t>
      </w:r>
      <w:r>
        <w:rPr>
          <w:rFonts w:hint="eastAsia" w:ascii="宋体" w:hAnsi="宋体"/>
          <w:szCs w:val="24"/>
          <w:highlight w:val="none"/>
          <w:lang w:val="en-US" w:eastAsia="zh-CN"/>
        </w:rPr>
        <w:t>认证依据和</w:t>
      </w:r>
      <w:r>
        <w:rPr>
          <w:rFonts w:hint="eastAsia" w:ascii="宋体" w:hAnsi="宋体"/>
          <w:szCs w:val="24"/>
          <w:highlight w:val="none"/>
        </w:rPr>
        <w:t>认证模式</w:t>
      </w:r>
      <w:bookmarkEnd w:id="13"/>
      <w:bookmarkEnd w:id="14"/>
      <w:bookmarkEnd w:id="15"/>
      <w:bookmarkEnd w:id="16"/>
      <w:bookmarkEnd w:id="17"/>
      <w:bookmarkEnd w:id="18"/>
      <w:bookmarkEnd w:id="19"/>
      <w:bookmarkEnd w:id="20"/>
      <w:bookmarkEnd w:id="21"/>
      <w:bookmarkEnd w:id="22"/>
      <w:bookmarkEnd w:id="23"/>
      <w:bookmarkEnd w:id="24"/>
      <w:bookmarkEnd w:id="25"/>
      <w:bookmarkEnd w:id="26"/>
    </w:p>
    <w:p>
      <w:pPr>
        <w:spacing w:line="360" w:lineRule="auto"/>
        <w:ind w:firstLine="480" w:firstLineChars="200"/>
        <w:rPr>
          <w:rFonts w:hint="default" w:ascii="宋体" w:hAnsi="宋体" w:eastAsia="宋体"/>
          <w:sz w:val="24"/>
          <w:highlight w:val="none"/>
          <w:lang w:val="en-US" w:eastAsia="zh-CN"/>
        </w:rPr>
      </w:pPr>
      <w:r>
        <w:rPr>
          <w:rFonts w:hint="eastAsia" w:ascii="宋体" w:hAnsi="宋体"/>
          <w:sz w:val="24"/>
          <w:highlight w:val="none"/>
          <w:lang w:val="en-US" w:eastAsia="zh-CN"/>
        </w:rPr>
        <w:t>认证依据：</w:t>
      </w:r>
      <w:r>
        <w:rPr>
          <w:rFonts w:hint="eastAsia" w:ascii="宋体" w:hAnsi="宋体"/>
          <w:sz w:val="24"/>
          <w:highlight w:val="none"/>
        </w:rPr>
        <w:t>ISO/IEC 27001</w:t>
      </w:r>
      <w:r>
        <w:rPr>
          <w:rFonts w:hint="eastAsia" w:ascii="宋体" w:hAnsi="宋体"/>
          <w:sz w:val="24"/>
          <w:highlight w:val="none"/>
          <w:lang w:val="en-US" w:eastAsia="zh-CN"/>
        </w:rPr>
        <w:t>-2022</w:t>
      </w:r>
      <w:r>
        <w:rPr>
          <w:rFonts w:hint="eastAsia" w:ascii="宋体" w:hAnsi="宋体"/>
          <w:sz w:val="24"/>
          <w:highlight w:val="none"/>
        </w:rPr>
        <w:t>《</w:t>
      </w:r>
      <w:r>
        <w:rPr>
          <w:rFonts w:hint="eastAsia" w:ascii="宋体" w:hAnsi="宋体"/>
          <w:b w:val="0"/>
          <w:color w:val="auto"/>
          <w:sz w:val="24"/>
          <w:highlight w:val="none"/>
          <w:lang w:eastAsia="zh-CN"/>
        </w:rPr>
        <w:t>信息安全</w:t>
      </w:r>
      <w:r>
        <w:rPr>
          <w:rFonts w:hint="eastAsia" w:ascii="宋体" w:hAnsi="宋体" w:eastAsia="宋体"/>
          <w:b w:val="0"/>
          <w:color w:val="auto"/>
          <w:sz w:val="24"/>
          <w:highlight w:val="none"/>
          <w:lang w:eastAsia="zh-CN"/>
        </w:rPr>
        <w:t xml:space="preserve"> </w:t>
      </w:r>
      <w:r>
        <w:rPr>
          <w:rFonts w:hint="eastAsia" w:ascii="宋体" w:hAnsi="宋体"/>
          <w:b w:val="0"/>
          <w:color w:val="auto"/>
          <w:sz w:val="24"/>
          <w:highlight w:val="none"/>
          <w:lang w:eastAsia="zh-CN"/>
        </w:rPr>
        <w:t>网络安全和隐私保护</w:t>
      </w:r>
      <w:r>
        <w:rPr>
          <w:rFonts w:hint="eastAsia" w:ascii="宋体" w:hAnsi="宋体" w:eastAsia="宋体"/>
          <w:b w:val="0"/>
          <w:color w:val="auto"/>
          <w:sz w:val="24"/>
          <w:highlight w:val="none"/>
          <w:lang w:eastAsia="zh-CN"/>
        </w:rPr>
        <w:t xml:space="preserve"> </w:t>
      </w:r>
      <w:r>
        <w:rPr>
          <w:rFonts w:hint="eastAsia" w:ascii="宋体" w:hAnsi="宋体"/>
          <w:b w:val="0"/>
          <w:color w:val="auto"/>
          <w:sz w:val="24"/>
          <w:highlight w:val="none"/>
          <w:lang w:eastAsia="zh-CN"/>
        </w:rPr>
        <w:t>信息安全管理体系要求</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hint="eastAsia" w:ascii="宋体" w:hAnsi="宋体"/>
          <w:sz w:val="24"/>
          <w:highlight w:val="none"/>
        </w:rPr>
      </w:pPr>
    </w:p>
    <w:p>
      <w:pPr>
        <w:pStyle w:val="2"/>
        <w:spacing w:line="360" w:lineRule="auto"/>
        <w:rPr>
          <w:rFonts w:hint="eastAsia" w:ascii="宋体" w:hAnsi="宋体"/>
          <w:szCs w:val="24"/>
          <w:highlight w:val="none"/>
          <w:lang w:eastAsia="zh-CN"/>
        </w:rPr>
      </w:pPr>
      <w:bookmarkStart w:id="27" w:name="_Toc25807"/>
      <w:bookmarkStart w:id="28" w:name="_Toc85105513"/>
      <w:bookmarkStart w:id="29" w:name="_Toc85256249"/>
      <w:bookmarkStart w:id="30" w:name="_Toc28045"/>
      <w:bookmarkStart w:id="31" w:name="_Toc85103624"/>
      <w:bookmarkStart w:id="32" w:name="_Toc444776329"/>
      <w:bookmarkStart w:id="33" w:name="_Toc185325624"/>
      <w:r>
        <w:rPr>
          <w:rFonts w:hint="eastAsia" w:ascii="宋体" w:hAnsi="宋体"/>
          <w:szCs w:val="24"/>
          <w:highlight w:val="none"/>
        </w:rPr>
        <w:t>3 认证过程流程图</w:t>
      </w:r>
      <w:bookmarkEnd w:id="27"/>
      <w:bookmarkEnd w:id="28"/>
      <w:bookmarkEnd w:id="29"/>
      <w:bookmarkEnd w:id="30"/>
      <w:bookmarkEnd w:id="31"/>
      <w:bookmarkEnd w:id="32"/>
      <w:bookmarkEnd w:id="33"/>
    </w:p>
    <w:p>
      <w:pPr>
        <w:spacing w:line="360" w:lineRule="auto"/>
        <w:rPr>
          <w:rFonts w:hint="eastAsia" w:ascii="宋体" w:hAnsi="宋体"/>
          <w:sz w:val="24"/>
          <w:highlight w:val="none"/>
        </w:rPr>
      </w:pPr>
      <w:r>
        <w:rPr>
          <w:rFonts w:ascii="宋体" w:hAnsi="宋体"/>
          <w:sz w:val="24"/>
          <w:highlight w:val="none"/>
        </w:rPr>
        <w:pict>
          <v:shape id="_x0000_s1027" o:spid="_x0000_s1027" o:spt="75" type="#_x0000_t75" style="position:absolute;left:0pt;margin-left:94.05pt;margin-top:13.2pt;height:286pt;width:226.5pt;z-index:251662336;mso-width-relative:page;mso-height-relative:page;" o:ole="t" filled="f" o:preferrelative="t" stroked="f" coordsize="21600,21600">
            <v:path/>
            <v:fill on="f" alignshape="1" focussize="0,0"/>
            <v:stroke on="f"/>
            <v:imagedata r:id="rId12" grayscale="f" bilevel="f" o:title=""/>
            <o:lock v:ext="edit" aspectratio="t"/>
          </v:shape>
          <o:OLEObject Type="Embed" ProgID="" ShapeID="_x0000_s1027" DrawAspect="Content" ObjectID="_1468075725" r:id="rId11">
            <o:LockedField>false</o:LockedField>
          </o:OLEObject>
        </w:pict>
      </w: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spacing w:line="360" w:lineRule="auto"/>
        <w:rPr>
          <w:rFonts w:hint="eastAsia" w:ascii="宋体" w:hAnsi="宋体"/>
          <w:sz w:val="24"/>
          <w:highlight w:val="none"/>
        </w:rPr>
      </w:pPr>
    </w:p>
    <w:p>
      <w:pPr>
        <w:pStyle w:val="2"/>
        <w:spacing w:line="360" w:lineRule="auto"/>
        <w:rPr>
          <w:rFonts w:hint="eastAsia"/>
          <w:highlight w:val="none"/>
          <w:lang w:val="en-US" w:eastAsia="zh-CN"/>
        </w:rPr>
      </w:pPr>
      <w:bookmarkStart w:id="34" w:name="_Toc2011"/>
      <w:bookmarkStart w:id="35" w:name="_Toc4439"/>
      <w:bookmarkStart w:id="36" w:name="_Toc85105514"/>
      <w:bookmarkStart w:id="37" w:name="_Toc185325625"/>
      <w:bookmarkStart w:id="38" w:name="_Toc33598532"/>
      <w:bookmarkStart w:id="39" w:name="_Toc444776330"/>
      <w:bookmarkStart w:id="40" w:name="_Toc33600412"/>
      <w:bookmarkStart w:id="41" w:name="_Toc85256250"/>
      <w:bookmarkStart w:id="42" w:name="_Toc33598963"/>
      <w:bookmarkStart w:id="43" w:name="_Toc33599705"/>
      <w:bookmarkStart w:id="44" w:name="_Toc33600363"/>
      <w:bookmarkStart w:id="45" w:name="_Toc85103625"/>
      <w:bookmarkStart w:id="46" w:name="_Toc33598903"/>
      <w:bookmarkStart w:id="47" w:name="_Toc33599578"/>
      <w:r>
        <w:rPr>
          <w:rFonts w:hint="eastAsia" w:ascii="宋体" w:hAnsi="宋体"/>
          <w:szCs w:val="24"/>
          <w:highlight w:val="none"/>
        </w:rPr>
        <w:t>4 认证申请</w:t>
      </w:r>
      <w:r>
        <w:rPr>
          <w:rFonts w:hint="eastAsia"/>
          <w:highlight w:val="none"/>
          <w:lang w:val="en-US" w:eastAsia="zh-CN"/>
        </w:rPr>
        <w:t>及评审</w:t>
      </w:r>
      <w:bookmarkEnd w:id="34"/>
      <w:bookmarkEnd w:id="35"/>
    </w:p>
    <w:p>
      <w:pPr>
        <w:pStyle w:val="2"/>
        <w:spacing w:line="360" w:lineRule="auto"/>
        <w:rPr>
          <w:rFonts w:hint="eastAsia" w:ascii="宋体" w:hAnsi="宋体"/>
          <w:szCs w:val="24"/>
          <w:highlight w:val="none"/>
          <w:lang w:eastAsia="zh-CN"/>
        </w:rPr>
      </w:pPr>
      <w:bookmarkStart w:id="48" w:name="_Toc30865"/>
      <w:bookmarkStart w:id="49" w:name="_Toc16397"/>
      <w:bookmarkStart w:id="50" w:name="_Toc8898"/>
      <w:bookmarkStart w:id="51" w:name="_Toc28466"/>
      <w:bookmarkStart w:id="52" w:name="_Toc4837"/>
      <w:bookmarkStart w:id="53" w:name="_Toc28567"/>
      <w:r>
        <w:rPr>
          <w:rFonts w:hint="eastAsia" w:ascii="Arial" w:hAnsi="Arial" w:cs="Arial"/>
          <w:color w:val="000000"/>
          <w:sz w:val="24"/>
          <w:highlight w:val="none"/>
          <w:lang w:val="en-US" w:eastAsia="zh-CN"/>
        </w:rPr>
        <w:t>4.1</w:t>
      </w:r>
      <w:r>
        <w:rPr>
          <w:rFonts w:hint="eastAsia" w:ascii="Arial" w:hAnsi="Arial" w:eastAsia="宋体" w:cs="Arial"/>
          <w:color w:val="000000"/>
          <w:sz w:val="24"/>
          <w:highlight w:val="none"/>
          <w:lang w:val="en-US" w:eastAsia="zh-CN"/>
        </w:rPr>
        <w:t xml:space="preserve"> 申请条件</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numPr>
          <w:ilvl w:val="0"/>
          <w:numId w:val="1"/>
        </w:numPr>
        <w:spacing w:line="360" w:lineRule="auto"/>
        <w:ind w:left="341" w:leftChars="0" w:hanging="54"/>
        <w:rPr>
          <w:rFonts w:ascii="宋体" w:hAnsi="宋体" w:cs="宋体"/>
          <w:sz w:val="24"/>
          <w:highlight w:val="none"/>
        </w:rPr>
      </w:pPr>
      <w:r>
        <w:rPr>
          <w:rFonts w:hint="eastAsia" w:ascii="宋体" w:hAnsi="宋体" w:cs="宋体"/>
          <w:sz w:val="24"/>
          <w:highlight w:val="none"/>
        </w:rPr>
        <w:t>认证客户具有明确的法律地位,客户具有企业营业执照、事业单位法人证书、社会团体登记证书、非企业法人登记证书、党政机关设立文件等，可独立申请认证</w:t>
      </w:r>
      <w:r>
        <w:rPr>
          <w:rFonts w:hint="eastAsia" w:ascii="宋体" w:hAnsi="宋体" w:cs="宋体"/>
          <w:color w:val="0D0D0D"/>
          <w:sz w:val="24"/>
          <w:highlight w:val="none"/>
        </w:rPr>
        <w:t>。其他类型的客户，应由具备资格的单位代为申请；应填写《方圆标志管理体系认证申请书》，多名称客户组织申请管理体系认证时，补充填写《</w:t>
      </w:r>
      <w:r>
        <w:rPr>
          <w:rFonts w:ascii="宋体" w:hAnsi="宋体" w:cs="宋体"/>
          <w:color w:val="0D0D0D"/>
          <w:sz w:val="24"/>
          <w:highlight w:val="none"/>
        </w:rPr>
        <w:t>组织结构</w:t>
      </w:r>
      <w:r>
        <w:rPr>
          <w:rFonts w:hint="eastAsia" w:ascii="宋体" w:hAnsi="宋体" w:cs="宋体"/>
          <w:color w:val="0D0D0D"/>
          <w:sz w:val="24"/>
          <w:highlight w:val="none"/>
        </w:rPr>
        <w:t>与认证责任、产品责任必要的表述内容》；</w:t>
      </w:r>
    </w:p>
    <w:p>
      <w:pPr>
        <w:numPr>
          <w:ilvl w:val="0"/>
          <w:numId w:val="1"/>
        </w:numPr>
        <w:spacing w:line="360" w:lineRule="auto"/>
        <w:ind w:left="341" w:hanging="54"/>
        <w:rPr>
          <w:rFonts w:ascii="宋体" w:hAnsi="宋体"/>
          <w:sz w:val="24"/>
          <w:highlight w:val="none"/>
        </w:rPr>
      </w:pPr>
      <w:r>
        <w:rPr>
          <w:rFonts w:hint="eastAsia" w:ascii="宋体" w:hAnsi="宋体" w:cs="宋体"/>
          <w:sz w:val="24"/>
          <w:highlight w:val="none"/>
        </w:rPr>
        <w:t>国家、地方或行业有要求时，认证客户具有规定的行政认可文件</w:t>
      </w:r>
      <w:r>
        <w:rPr>
          <w:rFonts w:ascii="宋体" w:hAnsi="宋体" w:cs="宋体"/>
          <w:sz w:val="24"/>
          <w:highlight w:val="none"/>
        </w:rPr>
        <w:t>,</w:t>
      </w:r>
      <w:r>
        <w:rPr>
          <w:rFonts w:hint="eastAsia" w:ascii="宋体" w:hAnsi="宋体" w:cs="宋体"/>
          <w:sz w:val="24"/>
          <w:highlight w:val="none"/>
        </w:rPr>
        <w:t>其申请认证范围应在法律地位文件和行政认可文件核准的范围内；申请的认证范围不能包括涉及国家安全和机密的内容和场所；</w:t>
      </w:r>
    </w:p>
    <w:p>
      <w:pPr>
        <w:numPr>
          <w:ilvl w:val="0"/>
          <w:numId w:val="1"/>
        </w:numPr>
        <w:spacing w:line="360" w:lineRule="auto"/>
        <w:ind w:left="341" w:hanging="54"/>
        <w:rPr>
          <w:rFonts w:ascii="宋体" w:hAnsi="宋体" w:cs="宋体"/>
          <w:sz w:val="24"/>
          <w:highlight w:val="none"/>
        </w:rPr>
      </w:pPr>
      <w:r>
        <w:rPr>
          <w:rFonts w:hint="eastAsia" w:ascii="宋体" w:hAnsi="宋体" w:cs="宋体"/>
          <w:sz w:val="24"/>
          <w:highlight w:val="none"/>
        </w:rPr>
        <w:t>认证客户按管理体系标准建立了文件化的管理体系（含适用性声明），初次认证现场审核前已至少持续稳定运行了</w:t>
      </w:r>
      <w:r>
        <w:rPr>
          <w:rFonts w:ascii="宋体" w:hAnsi="宋体" w:cs="宋体"/>
          <w:sz w:val="24"/>
          <w:highlight w:val="none"/>
        </w:rPr>
        <w:t>3</w:t>
      </w:r>
      <w:r>
        <w:rPr>
          <w:rFonts w:hint="eastAsia" w:ascii="宋体" w:hAnsi="宋体" w:cs="宋体"/>
          <w:sz w:val="24"/>
          <w:highlight w:val="none"/>
        </w:rPr>
        <w:t>个月，至少已实施一次完整的内审和管理评审或已编制实施计划，并承诺在证书有效期内，持续有效运行管理体系；</w:t>
      </w:r>
    </w:p>
    <w:p>
      <w:pPr>
        <w:numPr>
          <w:ilvl w:val="0"/>
          <w:numId w:val="1"/>
        </w:numPr>
        <w:spacing w:line="360" w:lineRule="auto"/>
        <w:ind w:left="341" w:hanging="54"/>
        <w:rPr>
          <w:rFonts w:hint="eastAsia" w:ascii="宋体" w:hAnsi="宋体" w:cs="宋体"/>
          <w:sz w:val="24"/>
          <w:highlight w:val="none"/>
        </w:rPr>
      </w:pPr>
      <w:r>
        <w:rPr>
          <w:rFonts w:hint="eastAsia" w:ascii="宋体" w:hAnsi="宋体" w:cs="宋体"/>
          <w:sz w:val="24"/>
          <w:highlight w:val="none"/>
        </w:rPr>
        <w:t>认证客户承诺遵守国家的法律、法规及其他要求</w:t>
      </w:r>
      <w:r>
        <w:rPr>
          <w:rFonts w:ascii="宋体" w:hAnsi="宋体" w:cs="宋体"/>
          <w:sz w:val="24"/>
          <w:highlight w:val="none"/>
        </w:rPr>
        <w:t>,</w:t>
      </w:r>
      <w:r>
        <w:rPr>
          <w:rFonts w:hint="eastAsia" w:ascii="宋体" w:hAnsi="宋体" w:cs="宋体"/>
          <w:sz w:val="24"/>
          <w:highlight w:val="none"/>
        </w:rPr>
        <w:t>承诺始终遵守认证的有关规定，承担与认证有关的法律责任，并有义务协助认证监管部门的监督检查，对有关事项的询问和调查如实提供相关材料和信息；</w:t>
      </w:r>
    </w:p>
    <w:p>
      <w:pPr>
        <w:numPr>
          <w:ilvl w:val="0"/>
          <w:numId w:val="1"/>
        </w:numPr>
        <w:spacing w:line="360" w:lineRule="auto"/>
        <w:ind w:left="341" w:hanging="54"/>
        <w:rPr>
          <w:rFonts w:hint="eastAsia" w:ascii="宋体" w:hAnsi="宋体" w:cs="方正仿宋简体"/>
          <w:sz w:val="24"/>
          <w:highlight w:val="none"/>
        </w:rPr>
      </w:pPr>
      <w:r>
        <w:rPr>
          <w:rFonts w:hint="eastAsia" w:ascii="宋体" w:hAnsi="宋体" w:cs="宋体"/>
          <w:sz w:val="24"/>
          <w:highlight w:val="none"/>
        </w:rPr>
        <w:t>认证客户在一年内，未发生</w:t>
      </w:r>
      <w:r>
        <w:rPr>
          <w:rFonts w:hint="eastAsia" w:ascii="宋体" w:hAnsi="宋体"/>
          <w:sz w:val="24"/>
          <w:highlight w:val="none"/>
        </w:rPr>
        <w:t>信息安全泄露事故或信息技术服务</w:t>
      </w:r>
      <w:r>
        <w:rPr>
          <w:rFonts w:hint="eastAsia" w:ascii="宋体" w:hAnsi="宋体" w:cs="方正仿宋简体"/>
          <w:sz w:val="24"/>
          <w:highlight w:val="none"/>
        </w:rPr>
        <w:t>事故</w:t>
      </w:r>
      <w:r>
        <w:rPr>
          <w:rFonts w:hint="eastAsia" w:ascii="宋体" w:hAnsi="宋体"/>
          <w:sz w:val="24"/>
          <w:highlight w:val="none"/>
        </w:rPr>
        <w:t>（包括已经或可能严重损害国家安全、社会秩序、公共利益或获证客户及其相关方的合法权益）</w:t>
      </w:r>
      <w:r>
        <w:rPr>
          <w:rFonts w:hint="eastAsia" w:ascii="宋体" w:hAnsi="宋体" w:cs="方正仿宋简体"/>
          <w:sz w:val="24"/>
          <w:highlight w:val="none"/>
        </w:rPr>
        <w:t>或</w:t>
      </w:r>
      <w:r>
        <w:rPr>
          <w:rFonts w:hint="eastAsia" w:ascii="宋体" w:hAnsi="宋体" w:cs="宋体"/>
          <w:sz w:val="24"/>
          <w:highlight w:val="none"/>
        </w:rPr>
        <w:t>被执法监管部门责令停业整顿或在全国企业信用信息公示系统中被列入“严重违法企业名单”</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r>
        <w:rPr>
          <w:rFonts w:hint="eastAsia" w:ascii="宋体" w:hAnsi="宋体" w:cs="方正仿宋简体"/>
          <w:sz w:val="24"/>
          <w:highlight w:val="none"/>
        </w:rPr>
        <w:t>或违反国家相关法规，虚报、瞒报获证所需信息的情况</w:t>
      </w:r>
      <w:r>
        <w:rPr>
          <w:rFonts w:hint="eastAsia" w:ascii="宋体" w:hAnsi="宋体" w:cs="宋体"/>
          <w:sz w:val="24"/>
          <w:highlight w:val="none"/>
        </w:rPr>
        <w:t>；</w:t>
      </w:r>
    </w:p>
    <w:p>
      <w:pPr>
        <w:numPr>
          <w:ilvl w:val="0"/>
          <w:numId w:val="1"/>
        </w:numPr>
        <w:spacing w:line="360" w:lineRule="auto"/>
        <w:ind w:left="341" w:hanging="54"/>
        <w:rPr>
          <w:rFonts w:hint="eastAsia" w:ascii="宋体" w:hAnsi="宋体" w:cs="宋体"/>
          <w:sz w:val="24"/>
          <w:highlight w:val="none"/>
        </w:rPr>
      </w:pPr>
      <w:r>
        <w:rPr>
          <w:rFonts w:hint="eastAsia" w:ascii="宋体" w:hAnsi="宋体" w:cs="方正仿宋简体"/>
          <w:sz w:val="24"/>
          <w:highlight w:val="none"/>
        </w:rPr>
        <w:t>认证客户向CQM说明对认证机构资质要求或认证人员身份背景的要求，以及适用的与保守国家秘密或维护国家安全有关的法律法规要求，并说明是否存在因包含保密性或敏感性信息而不能提供给审核组核查的任何管理体系文件或记录的情况。</w:t>
      </w:r>
    </w:p>
    <w:p>
      <w:pPr>
        <w:numPr>
          <w:ilvl w:val="0"/>
          <w:numId w:val="1"/>
        </w:numPr>
        <w:spacing w:line="360" w:lineRule="auto"/>
        <w:ind w:left="341" w:hanging="54"/>
        <w:rPr>
          <w:rFonts w:hint="eastAsia" w:ascii="宋体" w:hAnsi="宋体" w:cs="方正仿宋简体"/>
          <w:sz w:val="24"/>
          <w:highlight w:val="none"/>
        </w:rPr>
      </w:pPr>
      <w:r>
        <w:rPr>
          <w:rFonts w:hint="eastAsia" w:ascii="宋体" w:hAnsi="宋体" w:cs="方正仿宋简体"/>
          <w:sz w:val="24"/>
          <w:highlight w:val="none"/>
        </w:rPr>
        <w:t>组织按照《方圆标志管理体系认证申请书》要求提交申请</w:t>
      </w:r>
      <w:r>
        <w:rPr>
          <w:rFonts w:hint="eastAsia" w:ascii="宋体" w:hAnsi="宋体"/>
          <w:sz w:val="24"/>
          <w:highlight w:val="none"/>
        </w:rPr>
        <w:t>资</w:t>
      </w:r>
      <w:r>
        <w:rPr>
          <w:rFonts w:hint="eastAsia" w:ascii="宋体" w:hAnsi="宋体" w:cs="方正仿宋简体"/>
          <w:sz w:val="24"/>
          <w:highlight w:val="none"/>
        </w:rPr>
        <w:t>料时，受理人员应与申请人进行确认，提交资料是否包含申请组织保密性或敏</w:t>
      </w:r>
      <w:r>
        <w:rPr>
          <w:rFonts w:hint="eastAsia" w:ascii="宋体" w:hAnsi="宋体"/>
          <w:sz w:val="24"/>
          <w:highlight w:val="none"/>
        </w:rPr>
        <w:t>感</w:t>
      </w:r>
      <w:r>
        <w:rPr>
          <w:rFonts w:hint="eastAsia" w:ascii="宋体" w:hAnsi="宋体" w:cs="方正仿宋简体"/>
          <w:sz w:val="24"/>
          <w:highlight w:val="none"/>
        </w:rPr>
        <w:t>性信息。在不影</w:t>
      </w:r>
      <w:r>
        <w:rPr>
          <w:rFonts w:hint="eastAsia" w:ascii="宋体" w:hAnsi="宋体"/>
          <w:sz w:val="24"/>
          <w:highlight w:val="none"/>
        </w:rPr>
        <w:t>响</w:t>
      </w:r>
      <w:r>
        <w:rPr>
          <w:rFonts w:hint="eastAsia" w:ascii="宋体" w:hAnsi="宋体" w:cs="方正仿宋简体"/>
          <w:sz w:val="24"/>
          <w:highlight w:val="none"/>
        </w:rPr>
        <w:t>申请评审和文件审核的前提下认证客户可以对提交资料进行相应的处理，删除其中的保密性或敏感性信息；</w:t>
      </w:r>
    </w:p>
    <w:p>
      <w:pPr>
        <w:numPr>
          <w:ilvl w:val="0"/>
          <w:numId w:val="1"/>
        </w:numPr>
        <w:spacing w:line="360" w:lineRule="auto"/>
        <w:ind w:left="341" w:hanging="54"/>
        <w:rPr>
          <w:rFonts w:hint="eastAsia" w:ascii="宋体" w:hAnsi="宋体" w:cs="宋体"/>
          <w:sz w:val="24"/>
          <w:highlight w:val="none"/>
        </w:rPr>
      </w:pPr>
      <w:r>
        <w:rPr>
          <w:rFonts w:hint="eastAsia" w:ascii="宋体" w:hAnsi="宋体" w:cs="方正仿宋简体"/>
          <w:sz w:val="24"/>
          <w:highlight w:val="none"/>
        </w:rPr>
        <w:t>认证客户</w:t>
      </w:r>
      <w:r>
        <w:rPr>
          <w:rFonts w:hint="eastAsia" w:ascii="宋体" w:hAnsi="宋体" w:cs="宋体"/>
          <w:sz w:val="24"/>
          <w:highlight w:val="none"/>
        </w:rPr>
        <w:t>承</w:t>
      </w:r>
      <w:r>
        <w:rPr>
          <w:rFonts w:hint="eastAsia" w:ascii="宋体" w:hAnsi="宋体" w:cs="方正仿宋简体"/>
          <w:sz w:val="24"/>
          <w:highlight w:val="none"/>
        </w:rPr>
        <w:t>诺获得CQM认证后，按规定使用认证证书和认证标志和有关信息，不得擅</w:t>
      </w:r>
      <w:r>
        <w:rPr>
          <w:rFonts w:hint="eastAsia" w:ascii="宋体" w:hAnsi="宋体" w:cs="宋体"/>
          <w:sz w:val="24"/>
          <w:highlight w:val="none"/>
        </w:rPr>
        <w:t>自利用管理体系认证证书的文字、符号误导公众认为其产品或服务通过认证。按合同支付认证费用，并按规定接受监督；</w:t>
      </w:r>
    </w:p>
    <w:p>
      <w:pPr>
        <w:numPr>
          <w:ilvl w:val="0"/>
          <w:numId w:val="1"/>
        </w:numPr>
        <w:spacing w:line="360" w:lineRule="auto"/>
        <w:ind w:left="341" w:hanging="54"/>
        <w:rPr>
          <w:rFonts w:hint="eastAsia" w:ascii="宋体" w:hAnsi="宋体"/>
          <w:sz w:val="24"/>
          <w:highlight w:val="none"/>
        </w:rPr>
      </w:pPr>
      <w:r>
        <w:rPr>
          <w:rFonts w:hint="eastAsia" w:ascii="宋体" w:hAnsi="宋体"/>
          <w:sz w:val="24"/>
          <w:highlight w:val="none"/>
        </w:rPr>
        <w:t>认证客户承诺获得</w:t>
      </w:r>
      <w:r>
        <w:rPr>
          <w:rFonts w:hint="eastAsia" w:ascii="宋体" w:hAnsi="宋体" w:cs="宋体"/>
          <w:sz w:val="24"/>
          <w:highlight w:val="none"/>
        </w:rPr>
        <w:t>方圆</w:t>
      </w:r>
      <w:r>
        <w:rPr>
          <w:rFonts w:hint="eastAsia" w:ascii="宋体" w:hAnsi="宋体"/>
          <w:sz w:val="24"/>
          <w:highlight w:val="none"/>
        </w:rPr>
        <w:t xml:space="preserve">认证后按照CQM要求向CQM通报管理体系变更的  </w:t>
      </w:r>
    </w:p>
    <w:p>
      <w:pPr>
        <w:spacing w:line="360" w:lineRule="auto"/>
        <w:ind w:left="562"/>
        <w:rPr>
          <w:rFonts w:hint="eastAsia" w:ascii="宋体" w:hAnsi="宋体"/>
          <w:sz w:val="24"/>
          <w:highlight w:val="none"/>
        </w:rPr>
      </w:pPr>
      <w:r>
        <w:rPr>
          <w:rFonts w:hint="eastAsia" w:ascii="宋体" w:hAnsi="宋体"/>
          <w:sz w:val="24"/>
          <w:highlight w:val="none"/>
        </w:rPr>
        <w:t>信息和其他可能影响管理体系持续满足认证标准要求的能力的事宜的信息，一</w:t>
      </w:r>
      <w:r>
        <w:rPr>
          <w:rFonts w:hint="eastAsia" w:ascii="宋体" w:hAnsi="宋体" w:cs="宋体"/>
          <w:sz w:val="24"/>
          <w:highlight w:val="none"/>
        </w:rPr>
        <w:t>般</w:t>
      </w:r>
      <w:r>
        <w:rPr>
          <w:rFonts w:hint="eastAsia" w:ascii="宋体" w:hAnsi="宋体"/>
          <w:sz w:val="24"/>
          <w:highlight w:val="none"/>
        </w:rPr>
        <w:t>包括：客户及相关方有重大投诉；所提供的信息技术服务或信息安全服务被执法监管部门列入“黑名单”；发生信息安全泄露事故或信息技术服务重大事故；相关情况发生变更（包括：法律地位、生产经营状况、组织机构或所有权变更、资质证书变更；法定代表人、最高管理者、管理者代表发生变更；服务的工作场所变更；管理体系覆盖的活动范围变更；管理体系和重要过程的重大变更等）；出现影响管理体系运行的其他重要情况；</w:t>
      </w:r>
    </w:p>
    <w:p>
      <w:pPr>
        <w:spacing w:line="360" w:lineRule="auto"/>
        <w:ind w:left="0" w:leftChars="0" w:firstLine="240" w:firstLineChars="100"/>
        <w:rPr>
          <w:rFonts w:hint="eastAsia"/>
          <w:color w:val="000000"/>
          <w:highlight w:val="none"/>
        </w:rPr>
      </w:pPr>
      <w:r>
        <w:rPr>
          <w:rFonts w:hint="eastAsia" w:ascii="宋体" w:hAnsi="宋体"/>
          <w:color w:val="000000"/>
          <w:sz w:val="24"/>
          <w:highlight w:val="none"/>
          <w:lang w:val="en-US" w:eastAsia="zh-CN"/>
        </w:rPr>
        <w:t xml:space="preserve">j)  </w:t>
      </w:r>
      <w:r>
        <w:rPr>
          <w:rFonts w:hint="eastAsia" w:ascii="宋体" w:hAnsi="宋体"/>
          <w:color w:val="000000"/>
          <w:sz w:val="24"/>
          <w:highlight w:val="none"/>
        </w:rPr>
        <w:t>认证审核期间，认证客户能够提供与拟认证范围相关的</w:t>
      </w:r>
      <w:r>
        <w:rPr>
          <w:rFonts w:hint="eastAsia" w:ascii="宋体" w:hAnsi="宋体" w:cs="宋体"/>
          <w:color w:val="000000"/>
          <w:sz w:val="24"/>
          <w:highlight w:val="none"/>
        </w:rPr>
        <w:t>产品/服务/活动现场。</w:t>
      </w:r>
    </w:p>
    <w:p>
      <w:pPr>
        <w:spacing w:line="360" w:lineRule="auto"/>
        <w:outlineLvl w:val="1"/>
        <w:rPr>
          <w:rFonts w:hint="eastAsia" w:ascii="Arial" w:hAnsi="Arial" w:cs="Arial"/>
          <w:color w:val="000000"/>
          <w:sz w:val="24"/>
          <w:highlight w:val="none"/>
          <w:lang w:val="en-US" w:eastAsia="zh-CN"/>
        </w:rPr>
      </w:pPr>
      <w:bookmarkStart w:id="54" w:name="_Toc1024"/>
      <w:r>
        <w:rPr>
          <w:rFonts w:hint="eastAsia" w:ascii="Arial" w:hAnsi="Arial" w:cs="Arial"/>
          <w:color w:val="000000"/>
          <w:sz w:val="24"/>
          <w:highlight w:val="none"/>
          <w:lang w:val="en-US" w:eastAsia="zh-CN"/>
        </w:rPr>
        <w:t>4.2 申请评审</w:t>
      </w:r>
      <w:bookmarkEnd w:id="54"/>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spacing w:line="360" w:lineRule="auto"/>
        <w:rPr>
          <w:rFonts w:hint="default" w:ascii="宋体" w:hAnsi="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c）CQM与认证客户就相关事宜达成一致。</w:t>
      </w:r>
    </w:p>
    <w:p>
      <w:pPr>
        <w:pStyle w:val="2"/>
        <w:spacing w:line="600" w:lineRule="auto"/>
        <w:rPr>
          <w:rFonts w:hint="default" w:ascii="宋体" w:hAnsi="宋体"/>
          <w:color w:val="C00000"/>
          <w:highlight w:val="none"/>
          <w:lang w:val="en-US" w:eastAsia="zh-CN"/>
        </w:rPr>
      </w:pPr>
      <w:bookmarkStart w:id="55" w:name="_Toc3502"/>
      <w:bookmarkStart w:id="56" w:name="_Toc31362"/>
      <w:bookmarkStart w:id="57" w:name="_Toc9070"/>
      <w:bookmarkStart w:id="58" w:name="_Toc2953"/>
      <w:bookmarkStart w:id="59" w:name="_Toc32057"/>
      <w:bookmarkStart w:id="60" w:name="_Toc26933"/>
      <w:bookmarkStart w:id="61" w:name="_Toc1729"/>
      <w:bookmarkStart w:id="62" w:name="_Toc12267"/>
      <w:bookmarkStart w:id="63" w:name="_Toc22070"/>
      <w:r>
        <w:rPr>
          <w:rFonts w:hint="eastAsia" w:ascii="宋体" w:hAnsi="宋体"/>
          <w:color w:val="auto"/>
          <w:highlight w:val="none"/>
          <w:lang w:val="en-US" w:eastAsia="zh-CN"/>
        </w:rPr>
        <w:t xml:space="preserve">5 </w:t>
      </w:r>
      <w:bookmarkEnd w:id="55"/>
      <w:bookmarkEnd w:id="56"/>
      <w:bookmarkEnd w:id="57"/>
      <w:r>
        <w:rPr>
          <w:rFonts w:hint="eastAsia" w:ascii="宋体" w:hAnsi="宋体"/>
          <w:color w:val="auto"/>
          <w:highlight w:val="none"/>
          <w:lang w:val="en-US" w:eastAsia="zh-CN"/>
        </w:rPr>
        <w:t>审核方案策划</w:t>
      </w:r>
      <w:bookmarkEnd w:id="58"/>
      <w:bookmarkEnd w:id="59"/>
      <w:bookmarkEnd w:id="60"/>
      <w:bookmarkEnd w:id="61"/>
      <w:bookmarkEnd w:id="62"/>
      <w:bookmarkEnd w:id="63"/>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 xml:space="preserve">此后，监督审核应至少每个日历年（应进行再认证的年份除外）进行一次，且两次监督审核的时间间隔不得超过15个月。 </w:t>
      </w:r>
    </w:p>
    <w:p>
      <w:pPr>
        <w:spacing w:line="360" w:lineRule="auto"/>
        <w:rPr>
          <w:rFonts w:hint="eastAsia" w:ascii="宋体" w:hAnsi="宋体"/>
          <w:sz w:val="24"/>
          <w:highlight w:val="none"/>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r>
        <w:rPr>
          <w:rFonts w:hint="eastAsia" w:ascii="宋体" w:hAnsi="宋体" w:cs="方正仿宋简体"/>
          <w:sz w:val="24"/>
          <w:highlight w:val="none"/>
        </w:rPr>
        <w:t xml:space="preserve">                                                                                                                                                                                                                                                                                                                 </w:t>
      </w:r>
    </w:p>
    <w:p>
      <w:pPr>
        <w:pStyle w:val="2"/>
        <w:spacing w:line="360" w:lineRule="auto"/>
        <w:rPr>
          <w:rFonts w:hint="eastAsia" w:ascii="宋体" w:hAnsi="宋体"/>
          <w:szCs w:val="24"/>
          <w:highlight w:val="none"/>
        </w:rPr>
      </w:pPr>
      <w:bookmarkStart w:id="64" w:name="_Toc32748"/>
      <w:bookmarkStart w:id="65" w:name="_Toc444776331"/>
      <w:bookmarkStart w:id="66" w:name="_Toc185325626"/>
      <w:bookmarkStart w:id="67" w:name="_Toc634"/>
      <w:r>
        <w:rPr>
          <w:rFonts w:hint="eastAsia" w:ascii="宋体" w:hAnsi="宋体"/>
          <w:szCs w:val="24"/>
          <w:highlight w:val="none"/>
          <w:lang w:val="en-US" w:eastAsia="zh-CN"/>
        </w:rPr>
        <w:t>6</w:t>
      </w:r>
      <w:r>
        <w:rPr>
          <w:rFonts w:hint="eastAsia" w:ascii="宋体" w:hAnsi="宋体"/>
          <w:szCs w:val="24"/>
          <w:highlight w:val="none"/>
        </w:rPr>
        <w:t xml:space="preserve"> 审核实施</w:t>
      </w:r>
      <w:bookmarkEnd w:id="64"/>
      <w:bookmarkEnd w:id="65"/>
      <w:bookmarkEnd w:id="66"/>
      <w:bookmarkEnd w:id="67"/>
    </w:p>
    <w:p>
      <w:pPr>
        <w:pStyle w:val="3"/>
        <w:spacing w:before="0" w:after="0" w:line="360" w:lineRule="auto"/>
        <w:rPr>
          <w:rFonts w:hint="eastAsia" w:ascii="宋体" w:hAnsi="宋体" w:eastAsia="宋体"/>
          <w:sz w:val="24"/>
          <w:szCs w:val="24"/>
          <w:highlight w:val="none"/>
        </w:rPr>
      </w:pPr>
      <w:bookmarkStart w:id="68" w:name="_Toc2924"/>
      <w:bookmarkStart w:id="69" w:name="_Toc185325627"/>
      <w:bookmarkStart w:id="70" w:name="_Toc444776332"/>
      <w:r>
        <w:rPr>
          <w:rFonts w:hint="eastAsia" w:ascii="宋体" w:hAnsi="宋体" w:eastAsia="宋体"/>
          <w:sz w:val="24"/>
          <w:szCs w:val="24"/>
          <w:highlight w:val="none"/>
          <w:lang w:val="en-US" w:eastAsia="zh-CN"/>
        </w:rPr>
        <w:t>6</w:t>
      </w:r>
      <w:r>
        <w:rPr>
          <w:rFonts w:hint="eastAsia" w:ascii="宋体" w:hAnsi="宋体" w:eastAsia="宋体"/>
          <w:sz w:val="24"/>
          <w:szCs w:val="24"/>
          <w:highlight w:val="none"/>
        </w:rPr>
        <w:t>.1 审核准则</w:t>
      </w:r>
      <w:bookmarkEnd w:id="68"/>
      <w:bookmarkEnd w:id="69"/>
      <w:bookmarkEnd w:id="70"/>
    </w:p>
    <w:p>
      <w:pPr>
        <w:spacing w:line="360" w:lineRule="auto"/>
        <w:ind w:firstLine="360" w:firstLineChars="150"/>
        <w:rPr>
          <w:rFonts w:hint="eastAsia" w:ascii="宋体" w:hAnsi="宋体"/>
          <w:sz w:val="24"/>
          <w:highlight w:val="none"/>
        </w:rPr>
      </w:pPr>
      <w:r>
        <w:rPr>
          <w:rFonts w:hint="eastAsia" w:ascii="宋体" w:hAnsi="宋体"/>
          <w:sz w:val="24"/>
          <w:highlight w:val="none"/>
        </w:rPr>
        <w:t>认证双方确认的审核依据如下：</w:t>
      </w:r>
    </w:p>
    <w:p>
      <w:pPr>
        <w:numPr>
          <w:ilvl w:val="-1"/>
          <w:numId w:val="0"/>
        </w:numPr>
        <w:spacing w:line="360" w:lineRule="auto"/>
        <w:ind w:left="426" w:firstLine="480" w:firstLineChars="200"/>
        <w:rPr>
          <w:rFonts w:hint="eastAsia" w:ascii="宋体" w:hAnsi="宋体"/>
          <w:sz w:val="24"/>
          <w:highlight w:val="none"/>
        </w:rPr>
      </w:pPr>
      <w:r>
        <w:rPr>
          <w:rFonts w:hint="eastAsia" w:ascii="宋体" w:hAnsi="宋体"/>
          <w:sz w:val="24"/>
          <w:highlight w:val="none"/>
        </w:rPr>
        <w:t>信息安全管理体系标准：ISO/IEC 27001</w:t>
      </w:r>
      <w:r>
        <w:rPr>
          <w:rFonts w:hint="eastAsia" w:ascii="宋体" w:hAnsi="宋体"/>
          <w:sz w:val="24"/>
          <w:highlight w:val="none"/>
          <w:lang w:val="en-US" w:eastAsia="zh-CN"/>
        </w:rPr>
        <w:t>-2022</w:t>
      </w:r>
      <w:r>
        <w:rPr>
          <w:rFonts w:hint="eastAsia" w:ascii="宋体" w:hAnsi="宋体"/>
          <w:sz w:val="24"/>
          <w:highlight w:val="none"/>
        </w:rPr>
        <w:t>《</w:t>
      </w:r>
      <w:r>
        <w:rPr>
          <w:rFonts w:hint="eastAsia" w:ascii="宋体" w:hAnsi="宋体"/>
          <w:b w:val="0"/>
          <w:color w:val="auto"/>
          <w:sz w:val="24"/>
          <w:highlight w:val="none"/>
          <w:lang w:eastAsia="zh-CN"/>
        </w:rPr>
        <w:t>信息安全</w:t>
      </w:r>
      <w:r>
        <w:rPr>
          <w:rFonts w:hint="eastAsia" w:ascii="宋体" w:hAnsi="宋体" w:eastAsia="宋体"/>
          <w:b w:val="0"/>
          <w:color w:val="auto"/>
          <w:sz w:val="24"/>
          <w:highlight w:val="none"/>
          <w:lang w:eastAsia="zh-CN"/>
        </w:rPr>
        <w:t xml:space="preserve"> </w:t>
      </w:r>
      <w:r>
        <w:rPr>
          <w:rFonts w:hint="eastAsia" w:ascii="宋体" w:hAnsi="宋体"/>
          <w:b w:val="0"/>
          <w:color w:val="auto"/>
          <w:sz w:val="24"/>
          <w:highlight w:val="none"/>
          <w:lang w:eastAsia="zh-CN"/>
        </w:rPr>
        <w:t>网络安全和隐私保护</w:t>
      </w:r>
      <w:r>
        <w:rPr>
          <w:rFonts w:hint="eastAsia" w:ascii="宋体" w:hAnsi="宋体" w:eastAsia="宋体"/>
          <w:b w:val="0"/>
          <w:color w:val="auto"/>
          <w:sz w:val="24"/>
          <w:highlight w:val="none"/>
          <w:lang w:eastAsia="zh-CN"/>
        </w:rPr>
        <w:t xml:space="preserve"> </w:t>
      </w:r>
      <w:bookmarkStart w:id="71" w:name="OLE_LINK1"/>
      <w:r>
        <w:rPr>
          <w:rFonts w:hint="eastAsia" w:ascii="宋体" w:hAnsi="宋体"/>
          <w:b w:val="0"/>
          <w:color w:val="auto"/>
          <w:sz w:val="24"/>
          <w:highlight w:val="none"/>
          <w:lang w:eastAsia="zh-CN"/>
        </w:rPr>
        <w:t>信息安全管理体系要求</w:t>
      </w:r>
      <w:bookmarkEnd w:id="71"/>
      <w:r>
        <w:rPr>
          <w:rFonts w:hint="eastAsia" w:ascii="宋体" w:hAnsi="宋体"/>
          <w:sz w:val="24"/>
          <w:highlight w:val="none"/>
        </w:rPr>
        <w:t>》；</w:t>
      </w:r>
    </w:p>
    <w:p>
      <w:pPr>
        <w:numPr>
          <w:ilvl w:val="-1"/>
          <w:numId w:val="0"/>
        </w:numPr>
        <w:spacing w:line="360" w:lineRule="auto"/>
        <w:ind w:left="426" w:firstLine="480" w:firstLineChars="200"/>
        <w:jc w:val="left"/>
        <w:rPr>
          <w:rFonts w:hint="eastAsia" w:ascii="宋体" w:hAnsi="宋体"/>
          <w:sz w:val="24"/>
          <w:highlight w:val="none"/>
        </w:rPr>
      </w:pPr>
      <w:r>
        <w:rPr>
          <w:rFonts w:hint="eastAsia" w:ascii="宋体" w:hAnsi="宋体"/>
          <w:sz w:val="24"/>
          <w:highlight w:val="none"/>
        </w:rPr>
        <w:t>审核准则还包括受审核方所适用的信息安全方针、目标、适用性声明、程序、标准、法律法规、操作规范、合同要求或行业规范。</w:t>
      </w:r>
    </w:p>
    <w:p>
      <w:pPr>
        <w:pStyle w:val="3"/>
        <w:spacing w:before="0" w:after="0" w:line="360" w:lineRule="auto"/>
        <w:rPr>
          <w:rFonts w:ascii="宋体" w:hAnsi="宋体" w:eastAsia="宋体"/>
          <w:sz w:val="24"/>
          <w:highlight w:val="none"/>
          <w:lang w:val="en-GB"/>
        </w:rPr>
      </w:pPr>
      <w:bookmarkStart w:id="72" w:name="_Toc28263"/>
      <w:bookmarkStart w:id="73" w:name="_Toc444776333"/>
      <w:bookmarkStart w:id="74" w:name="_Toc7650"/>
      <w:bookmarkStart w:id="75" w:name="_Toc185325628"/>
      <w:r>
        <w:rPr>
          <w:rFonts w:hint="eastAsia" w:ascii="宋体" w:hAnsi="宋体" w:eastAsia="宋体"/>
          <w:sz w:val="24"/>
          <w:highlight w:val="none"/>
          <w:lang w:eastAsia="zh-CN"/>
        </w:rPr>
        <w:t>6</w:t>
      </w:r>
      <w:r>
        <w:rPr>
          <w:rFonts w:ascii="宋体" w:hAnsi="宋体" w:eastAsia="宋体"/>
          <w:sz w:val="24"/>
          <w:highlight w:val="none"/>
        </w:rPr>
        <w:t xml:space="preserve">.2 </w:t>
      </w:r>
      <w:r>
        <w:rPr>
          <w:rFonts w:hint="eastAsia" w:ascii="宋体" w:hAnsi="宋体" w:eastAsia="宋体"/>
          <w:sz w:val="24"/>
          <w:highlight w:val="none"/>
        </w:rPr>
        <w:t>审核过程</w:t>
      </w:r>
      <w:bookmarkEnd w:id="72"/>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初次认证审核分两个阶段实施：第一阶段和第二阶段。</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第一阶段审核的目的是了解受审核方的基本信息、审核管理体系文件，识别任何引起关注的、在第二阶段审核中可能被判定为不符合的问题，为第二阶段审核提供关注点。</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第二阶段审核的目的是评价受审核方管理体系实施的符合性和有效性。</w:t>
      </w:r>
    </w:p>
    <w:p>
      <w:pPr>
        <w:spacing w:line="360" w:lineRule="auto"/>
        <w:ind w:firstLine="480" w:firstLineChars="200"/>
        <w:jc w:val="left"/>
        <w:rPr>
          <w:rFonts w:hint="eastAsia" w:ascii="宋体" w:hAnsi="宋体"/>
          <w:color w:val="000000"/>
          <w:sz w:val="24"/>
          <w:highlight w:val="none"/>
        </w:rPr>
      </w:pPr>
      <w:r>
        <w:rPr>
          <w:rFonts w:hint="eastAsia" w:ascii="宋体" w:hAnsi="宋体"/>
          <w:sz w:val="24"/>
          <w:highlight w:val="none"/>
        </w:rPr>
        <w:t>审核组对在第一阶段和第二阶段审核中收集的所有信息和证据进行分析，以形成审核结论。</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和现场的具体情况、内部审核与管理评审策划和实施情况，确认受审核方对标准的理解和实施的程度、对目标的实现具有重要影响的关键点、相关的法律法规要求的遵守情况以及管理体系范围，以确定第二阶段审核安排。</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与管理体系标准和其他规范性文件的所有要求的符合情况；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依据关键绩效目标和指标，对绩效进行的监视、测量、报告和评审；</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管理体系和绩效中与遵守法律有关的方面；</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受审核方过程的运作控制；</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内部审核和管理评审实施情况；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管理职责的落实，包括针对方针的管理职责；</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为实现总目标而建立的职能层次目标的策划和实现情况；</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规范性要求、方针、绩效目标和指标、适用的法律要求、职责、人员能力、运作、程序、绩效数据和内部审核发现及结论之间的联系。</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基于风险评估和风险处置过程，确定控制目标和控制；</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所制确定的控制、适用性声明、风险评估和风险处置过程的、信息安全方针、信息安全目标之间的一致性；</w:t>
      </w:r>
    </w:p>
    <w:p>
      <w:pPr>
        <w:numPr>
          <w:ilvl w:val="0"/>
          <w:numId w:val="2"/>
        </w:numPr>
        <w:spacing w:line="360" w:lineRule="auto"/>
        <w:jc w:val="left"/>
        <w:rPr>
          <w:rFonts w:hint="eastAsia" w:ascii="宋体" w:hAnsi="宋体"/>
          <w:sz w:val="24"/>
          <w:highlight w:val="none"/>
        </w:rPr>
      </w:pPr>
      <w:r>
        <w:rPr>
          <w:rFonts w:hint="eastAsia" w:ascii="宋体" w:hAnsi="宋体"/>
          <w:sz w:val="24"/>
          <w:highlight w:val="none"/>
        </w:rPr>
        <w:t>控制的实施（控制措施），考虑了外部环境、内部环境与相关的风险，以及组织对信息安全过程及控制措施的监视、测量与分析，以确定控制是否得以实施，有效并达到其所规定的目标。</w:t>
      </w:r>
    </w:p>
    <w:p>
      <w:pPr>
        <w:spacing w:line="360" w:lineRule="auto"/>
        <w:ind w:firstLine="480" w:firstLineChars="200"/>
        <w:jc w:val="left"/>
        <w:rPr>
          <w:rFonts w:hint="eastAsia" w:ascii="宋体" w:hAnsi="宋体"/>
          <w:color w:val="000000"/>
          <w:sz w:val="24"/>
          <w:highlight w:val="none"/>
        </w:rPr>
      </w:pPr>
      <w:r>
        <w:rPr>
          <w:rFonts w:hint="eastAsia" w:hAnsi="宋体"/>
          <w:bCs/>
          <w:color w:val="000000"/>
          <w:sz w:val="24"/>
          <w:highlight w:val="none"/>
        </w:rPr>
        <w:t>如果认证客户不能在初次认证第二阶段结束后的规定时间内按要求关闭不符合，CQM将</w:t>
      </w:r>
      <w:r>
        <w:rPr>
          <w:rFonts w:hint="eastAsia" w:hAnsi="宋体"/>
          <w:color w:val="000000"/>
          <w:sz w:val="24"/>
          <w:highlight w:val="none"/>
        </w:rPr>
        <w:t>再实施一次第二阶段审核或不批准认证。</w:t>
      </w:r>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w:t>
      </w:r>
      <w:r>
        <w:rPr>
          <w:rFonts w:hint="eastAsia"/>
          <w:sz w:val="24"/>
          <w:highlight w:val="none"/>
        </w:rPr>
        <w:t>（如关注国家有关部门发布的</w:t>
      </w:r>
      <w:r>
        <w:rPr>
          <w:rFonts w:hint="eastAsia"/>
          <w:sz w:val="24"/>
          <w:highlight w:val="none"/>
          <w:lang w:val="en-US" w:eastAsia="zh-CN"/>
        </w:rPr>
        <w:t>信息安全</w:t>
      </w:r>
      <w:r>
        <w:rPr>
          <w:rFonts w:hint="eastAsia"/>
          <w:sz w:val="24"/>
          <w:highlight w:val="none"/>
        </w:rPr>
        <w:t>信息公报、关注获证客户相关方的信息、获证客户有关信息的日常跟踪、审查获证客户及其运作的说明、要求获证客户提供文件和记录等）</w:t>
      </w:r>
      <w:r>
        <w:rPr>
          <w:rFonts w:hint="eastAsia" w:ascii="宋体" w:hAnsi="宋体"/>
          <w:sz w:val="24"/>
          <w:highlight w:val="none"/>
        </w:rPr>
        <w:t>相结合的方式。</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任何变更（如资源、过程、组织结构、已识别的关键控制点等）；</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持续的运作控制</w:t>
      </w:r>
      <w:r>
        <w:rPr>
          <w:rFonts w:hint="eastAsia" w:ascii="宋体" w:hAnsi="宋体"/>
          <w:sz w:val="24"/>
          <w:highlight w:val="none"/>
          <w:lang w:val="en-US" w:eastAsia="zh-CN"/>
        </w:rPr>
        <w:t>信息安全</w:t>
      </w:r>
      <w:r>
        <w:rPr>
          <w:rFonts w:hint="eastAsia" w:ascii="宋体" w:hAnsi="宋体"/>
          <w:sz w:val="24"/>
          <w:highlight w:val="none"/>
        </w:rPr>
        <w:t>目标的实现情况；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内部审核和管理评审；</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投诉的处理；</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管理体系实施的有效性；</w:t>
      </w:r>
    </w:p>
    <w:p>
      <w:pPr>
        <w:numPr>
          <w:ilvl w:val="0"/>
          <w:numId w:val="3"/>
        </w:numPr>
        <w:spacing w:line="360" w:lineRule="auto"/>
        <w:jc w:val="left"/>
        <w:rPr>
          <w:rFonts w:hint="eastAsia" w:ascii="宋体" w:hAnsi="宋体"/>
          <w:color w:val="000000"/>
          <w:sz w:val="24"/>
          <w:highlight w:val="none"/>
        </w:rPr>
      </w:pPr>
      <w:r>
        <w:rPr>
          <w:rFonts w:hint="eastAsia" w:ascii="宋体" w:hAnsi="宋体"/>
          <w:color w:val="000000"/>
          <w:sz w:val="24"/>
          <w:highlight w:val="none"/>
        </w:rPr>
        <w:t>认证范围相关的</w:t>
      </w:r>
      <w:r>
        <w:rPr>
          <w:rFonts w:hint="eastAsia" w:ascii="宋体" w:hAnsi="宋体" w:cs="宋体"/>
          <w:color w:val="000000"/>
          <w:sz w:val="24"/>
          <w:highlight w:val="none"/>
        </w:rPr>
        <w:t>产品/服务/活动现场情况；</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为持续改进而策划的活动的进展；</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针对上次审核中确定的不符合所采取的措施和效果；</w:t>
      </w:r>
    </w:p>
    <w:p>
      <w:pPr>
        <w:numPr>
          <w:ilvl w:val="0"/>
          <w:numId w:val="3"/>
        </w:numPr>
        <w:spacing w:line="360" w:lineRule="auto"/>
        <w:jc w:val="left"/>
        <w:rPr>
          <w:rFonts w:hint="eastAsia" w:ascii="宋体" w:hAnsi="宋体"/>
          <w:sz w:val="24"/>
          <w:highlight w:val="none"/>
        </w:rPr>
      </w:pPr>
      <w:r>
        <w:rPr>
          <w:rFonts w:hint="eastAsia" w:ascii="宋体" w:hAnsi="宋体"/>
          <w:sz w:val="24"/>
          <w:highlight w:val="none"/>
        </w:rPr>
        <w:t>证书和标志的使用和（或）任何其他对认证资格的引用。</w:t>
      </w:r>
    </w:p>
    <w:p>
      <w:pPr>
        <w:spacing w:line="360" w:lineRule="auto"/>
        <w:ind w:left="480"/>
        <w:rPr>
          <w:rFonts w:hint="eastAsia" w:ascii="宋体" w:hAnsi="宋体"/>
          <w:sz w:val="24"/>
          <w:highlight w:val="none"/>
        </w:rPr>
      </w:pPr>
      <w:r>
        <w:rPr>
          <w:rFonts w:hint="eastAsia" w:ascii="宋体" w:hAnsi="宋体"/>
          <w:sz w:val="24"/>
          <w:highlight w:val="none"/>
        </w:rPr>
        <w:t>获证客户应保存全部投诉记录，需要时提供认证机构。</w:t>
      </w:r>
    </w:p>
    <w:p>
      <w:pPr>
        <w:pStyle w:val="5"/>
        <w:spacing w:line="360" w:lineRule="auto"/>
        <w:ind w:firstLine="480"/>
        <w:rPr>
          <w:rFonts w:hint="eastAsia"/>
          <w:sz w:val="24"/>
          <w:szCs w:val="24"/>
          <w:highlight w:val="none"/>
          <w:lang w:eastAsia="zh-CN"/>
        </w:rPr>
      </w:pPr>
      <w:r>
        <w:rPr>
          <w:rFonts w:hint="eastAsia"/>
          <w:sz w:val="24"/>
          <w:szCs w:val="24"/>
          <w:highlight w:val="none"/>
        </w:rPr>
        <w:t>CQM根据以上信息对获证客户管理体系进行再评价，确认其是否持续满足认证要求。</w:t>
      </w:r>
    </w:p>
    <w:p>
      <w:pPr>
        <w:pStyle w:val="5"/>
        <w:spacing w:line="360" w:lineRule="auto"/>
        <w:ind w:firstLine="480"/>
        <w:rPr>
          <w:sz w:val="24"/>
          <w:szCs w:val="24"/>
          <w:highlight w:val="none"/>
          <w:lang w:eastAsia="zh-CN"/>
        </w:rPr>
      </w:pPr>
      <w:r>
        <w:rPr>
          <w:rFonts w:hint="eastAsia"/>
          <w:sz w:val="24"/>
          <w:szCs w:val="24"/>
          <w:highlight w:val="none"/>
          <w:lang w:eastAsia="zh-CN"/>
        </w:rPr>
        <w:t>监督审核时，如认证客户没有按时关闭不符合，将可能导致认证证书的暂停或撤销。</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p>
    <w:p>
      <w:pPr>
        <w:spacing w:line="360" w:lineRule="auto"/>
        <w:ind w:left="-1" w:leftChars="-1" w:hanging="1"/>
        <w:rPr>
          <w:rFonts w:hint="eastAsia" w:ascii="宋体" w:hAnsi="宋体" w:cs="宋体"/>
          <w:kern w:val="0"/>
          <w:sz w:val="24"/>
          <w:highlight w:val="none"/>
        </w:rPr>
      </w:pPr>
      <w:r>
        <w:rPr>
          <w:rFonts w:hint="eastAsia" w:ascii="宋体" w:hAnsi="宋体"/>
          <w:sz w:val="24"/>
          <w:highlight w:val="none"/>
        </w:rPr>
        <w:t xml:space="preserve">    在证书有效期内，获证客户须接受监督审核，监督审核应至少每个日历年（应进行再认证的年份除外）进行一次。初次认证/再认证后的第一次监督审核应在认证决定日期起</w:t>
      </w:r>
      <w:r>
        <w:rPr>
          <w:rFonts w:ascii="宋体" w:hAnsi="宋体" w:cs="Arial"/>
          <w:sz w:val="24"/>
          <w:highlight w:val="none"/>
        </w:rPr>
        <w:t>12</w:t>
      </w:r>
      <w:r>
        <w:rPr>
          <w:rFonts w:hint="eastAsia" w:ascii="宋体" w:hAnsi="宋体"/>
          <w:sz w:val="24"/>
          <w:highlight w:val="none"/>
        </w:rPr>
        <w:t>个月内进行；</w:t>
      </w:r>
      <w:r>
        <w:rPr>
          <w:rFonts w:hint="eastAsia" w:ascii="宋体" w:hAnsi="宋体" w:cs="宋体"/>
          <w:kern w:val="0"/>
          <w:sz w:val="24"/>
          <w:highlight w:val="none"/>
        </w:rPr>
        <w:t>此后，监督审核应至少每个日历年（应进行再认证的年份除外）进行一次，且两次监督审核的时间间隔不得超过15个月。</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hint="eastAsia"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4"/>
        </w:numPr>
        <w:spacing w:line="360" w:lineRule="auto"/>
        <w:rPr>
          <w:rFonts w:hint="eastAsia" w:ascii="宋体" w:hAnsi="宋体"/>
          <w:sz w:val="24"/>
          <w:highlight w:val="none"/>
        </w:rPr>
      </w:pPr>
      <w:r>
        <w:rPr>
          <w:rFonts w:hint="eastAsia" w:ascii="宋体" w:hAnsi="宋体"/>
          <w:sz w:val="24"/>
          <w:highlight w:val="none"/>
        </w:rPr>
        <w:t>获证客户对管理体系进行了重大更改；</w:t>
      </w:r>
    </w:p>
    <w:p>
      <w:pPr>
        <w:pStyle w:val="5"/>
        <w:numPr>
          <w:ilvl w:val="0"/>
          <w:numId w:val="4"/>
        </w:numPr>
        <w:spacing w:line="360" w:lineRule="auto"/>
        <w:ind w:firstLineChars="0"/>
        <w:rPr>
          <w:rFonts w:hint="eastAsia"/>
          <w:sz w:val="24"/>
          <w:szCs w:val="24"/>
          <w:highlight w:val="none"/>
        </w:rPr>
      </w:pPr>
      <w:r>
        <w:rPr>
          <w:rFonts w:hint="eastAsia"/>
          <w:sz w:val="24"/>
          <w:szCs w:val="24"/>
          <w:highlight w:val="none"/>
        </w:rPr>
        <w:t>有足够信息表明获证客户发生了组织机构、生产条件、产品变更等影响到其认证基础的更改；</w:t>
      </w:r>
    </w:p>
    <w:p>
      <w:pPr>
        <w:pStyle w:val="5"/>
        <w:numPr>
          <w:ilvl w:val="0"/>
          <w:numId w:val="4"/>
        </w:numPr>
        <w:spacing w:line="360" w:lineRule="auto"/>
        <w:ind w:firstLineChars="0"/>
        <w:rPr>
          <w:rFonts w:hint="eastAsia"/>
          <w:sz w:val="24"/>
          <w:szCs w:val="24"/>
          <w:highlight w:val="none"/>
        </w:rPr>
      </w:pPr>
      <w:r>
        <w:rPr>
          <w:rFonts w:hint="eastAsia"/>
          <w:sz w:val="24"/>
          <w:szCs w:val="24"/>
          <w:highlight w:val="none"/>
        </w:rPr>
        <w:t>获证客户出现产品</w:t>
      </w:r>
      <w:r>
        <w:rPr>
          <w:rFonts w:hint="eastAsia"/>
          <w:sz w:val="24"/>
          <w:szCs w:val="24"/>
          <w:highlight w:val="none"/>
          <w:lang w:val="en-US" w:eastAsia="zh-CN"/>
        </w:rPr>
        <w:t>信息安全</w:t>
      </w:r>
      <w:r>
        <w:rPr>
          <w:rFonts w:hint="eastAsia"/>
          <w:sz w:val="24"/>
          <w:szCs w:val="24"/>
          <w:highlight w:val="none"/>
        </w:rPr>
        <w:t>事故或用户提出对相关管理体系运行效果的投诉未得到处理时；</w:t>
      </w:r>
    </w:p>
    <w:p>
      <w:pPr>
        <w:pStyle w:val="5"/>
        <w:numPr>
          <w:ilvl w:val="0"/>
          <w:numId w:val="4"/>
        </w:numPr>
        <w:spacing w:line="360" w:lineRule="auto"/>
        <w:ind w:firstLineChars="0"/>
        <w:rPr>
          <w:rFonts w:hint="eastAsia"/>
          <w:sz w:val="24"/>
          <w:szCs w:val="24"/>
          <w:highlight w:val="none"/>
        </w:rPr>
      </w:pPr>
      <w:r>
        <w:rPr>
          <w:rFonts w:hint="eastAsia"/>
          <w:sz w:val="24"/>
          <w:szCs w:val="24"/>
          <w:highlight w:val="none"/>
          <w:lang w:val="en-GB"/>
        </w:rPr>
        <w:t>获证</w:t>
      </w:r>
      <w:r>
        <w:rPr>
          <w:rFonts w:hint="eastAsia"/>
          <w:sz w:val="24"/>
          <w:szCs w:val="24"/>
          <w:highlight w:val="none"/>
          <w:lang w:val="en-GB" w:eastAsia="zh-CN"/>
        </w:rPr>
        <w:t>客户</w:t>
      </w:r>
      <w:r>
        <w:rPr>
          <w:rFonts w:hint="eastAsia"/>
          <w:sz w:val="24"/>
          <w:szCs w:val="24"/>
          <w:highlight w:val="none"/>
          <w:lang w:val="en-GB"/>
        </w:rPr>
        <w:t>的产品</w:t>
      </w:r>
      <w:r>
        <w:rPr>
          <w:rFonts w:hint="eastAsia"/>
          <w:sz w:val="24"/>
          <w:szCs w:val="24"/>
          <w:highlight w:val="none"/>
          <w:lang w:val="en-GB" w:eastAsia="zh-CN"/>
        </w:rPr>
        <w:t>和服务被</w:t>
      </w:r>
      <w:r>
        <w:rPr>
          <w:rFonts w:hint="eastAsia"/>
          <w:sz w:val="24"/>
          <w:szCs w:val="24"/>
          <w:highlight w:val="none"/>
          <w:lang w:val="en-GB"/>
        </w:rPr>
        <w:t>国家</w:t>
      </w:r>
      <w:r>
        <w:rPr>
          <w:rFonts w:hint="eastAsia"/>
          <w:sz w:val="24"/>
          <w:szCs w:val="24"/>
          <w:highlight w:val="none"/>
          <w:lang w:val="en-GB" w:eastAsia="zh-CN"/>
        </w:rPr>
        <w:t>行政主管部门在监督</w:t>
      </w:r>
      <w:r>
        <w:rPr>
          <w:rFonts w:hint="eastAsia"/>
          <w:sz w:val="24"/>
          <w:szCs w:val="24"/>
          <w:highlight w:val="none"/>
          <w:lang w:val="en-GB"/>
        </w:rPr>
        <w:t>抽查中被查出不合格时</w:t>
      </w:r>
      <w:r>
        <w:rPr>
          <w:rFonts w:hint="eastAsia"/>
          <w:sz w:val="24"/>
          <w:szCs w:val="24"/>
          <w:highlight w:val="none"/>
          <w:lang w:eastAsia="zh-CN"/>
        </w:rPr>
        <w:t>；</w:t>
      </w:r>
    </w:p>
    <w:p>
      <w:pPr>
        <w:pStyle w:val="5"/>
        <w:numPr>
          <w:ilvl w:val="0"/>
          <w:numId w:val="4"/>
        </w:numPr>
        <w:spacing w:line="360" w:lineRule="auto"/>
        <w:ind w:firstLineChars="0"/>
        <w:rPr>
          <w:sz w:val="24"/>
          <w:szCs w:val="24"/>
          <w:highlight w:val="none"/>
        </w:rPr>
      </w:pPr>
      <w:r>
        <w:rPr>
          <w:rFonts w:hint="eastAsia"/>
          <w:sz w:val="24"/>
          <w:szCs w:val="24"/>
          <w:highlight w:val="none"/>
        </w:rPr>
        <w:t>其他需要考虑的情况。</w:t>
      </w:r>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5"/>
        <w:spacing w:line="360" w:lineRule="auto"/>
        <w:ind w:firstLine="480"/>
        <w:rPr>
          <w:rFonts w:hint="eastAsia"/>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w:t>
      </w:r>
      <w:r>
        <w:rPr>
          <w:rFonts w:hint="eastAsia"/>
          <w:color w:val="auto"/>
          <w:sz w:val="24"/>
          <w:szCs w:val="24"/>
          <w:highlight w:val="none"/>
          <w:lang w:eastAsia="zh-CN"/>
        </w:rPr>
        <w:t>6</w:t>
      </w:r>
      <w:r>
        <w:rPr>
          <w:rFonts w:hint="eastAsia"/>
          <w:color w:val="auto"/>
          <w:sz w:val="24"/>
          <w:szCs w:val="24"/>
          <w:highlight w:val="none"/>
        </w:rPr>
        <w:t>.2.1条实施。</w:t>
      </w:r>
    </w:p>
    <w:p>
      <w:pPr>
        <w:pStyle w:val="5"/>
        <w:spacing w:line="360" w:lineRule="auto"/>
        <w:ind w:firstLine="480"/>
        <w:rPr>
          <w:rFonts w:hint="eastAsia"/>
          <w:color w:val="auto"/>
          <w:sz w:val="24"/>
          <w:szCs w:val="24"/>
          <w:highlight w:val="none"/>
        </w:rPr>
      </w:pPr>
      <w:r>
        <w:rPr>
          <w:rFonts w:hint="eastAsia"/>
          <w:color w:val="auto"/>
          <w:sz w:val="24"/>
          <w:szCs w:val="24"/>
          <w:highlight w:val="none"/>
        </w:rPr>
        <w:t>在对获证客户的日常监督中，发现获证客户的出现严重影响管理体系运作的重大变更时，或对获证客户的投诉分析和其他信息表明获证客户不再满足认证要求时，将安排特殊审核或与获证客户商定提前安排再认证审核。</w:t>
      </w:r>
    </w:p>
    <w:p>
      <w:pPr>
        <w:spacing w:after="156" w:afterLines="50" w:line="360" w:lineRule="auto"/>
        <w:ind w:firstLine="480" w:firstLineChars="200"/>
        <w:rPr>
          <w:rFonts w:hint="eastAsia"/>
          <w:color w:val="000000"/>
          <w:sz w:val="24"/>
          <w:highlight w:val="none"/>
        </w:rPr>
      </w:pPr>
      <w:r>
        <w:rPr>
          <w:rFonts w:hint="eastAsia" w:ascii="宋体" w:hAnsi="宋体"/>
          <w:color w:val="000000"/>
          <w:sz w:val="24"/>
          <w:highlight w:val="none"/>
        </w:rPr>
        <w:t>再认证时通常可不进行一阶段审核，但当获证客户的管理体系和获证客户的内外部运作环境有重大变化时，再认证审核活动可能需要有第一阶段审核</w:t>
      </w:r>
      <w:r>
        <w:rPr>
          <w:rFonts w:hint="eastAsia"/>
          <w:color w:val="000000"/>
          <w:sz w:val="24"/>
          <w:highlight w:val="none"/>
        </w:rPr>
        <w:t>。</w:t>
      </w:r>
    </w:p>
    <w:p>
      <w:pPr>
        <w:spacing w:after="156" w:afterLines="50" w:line="360" w:lineRule="auto"/>
        <w:ind w:firstLine="480" w:firstLineChars="200"/>
        <w:rPr>
          <w:rFonts w:hint="eastAsia"/>
          <w:color w:val="000000"/>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再认证审核失效。</w:t>
      </w:r>
    </w:p>
    <w:p>
      <w:pPr>
        <w:spacing w:line="360" w:lineRule="auto"/>
        <w:jc w:val="left"/>
        <w:rPr>
          <w:rFonts w:hint="eastAsia" w:ascii="宋体" w:hAnsi="宋体"/>
          <w:bCs/>
          <w:sz w:val="24"/>
          <w:highlight w:val="none"/>
        </w:rPr>
      </w:pPr>
      <w:r>
        <w:rPr>
          <w:rFonts w:hint="eastAsia" w:ascii="宋体" w:hAnsi="宋体"/>
          <w:bCs/>
          <w:sz w:val="24"/>
          <w:highlight w:val="none"/>
          <w:lang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5"/>
        <w:spacing w:line="360" w:lineRule="auto"/>
        <w:ind w:firstLine="480"/>
        <w:rPr>
          <w:rFonts w:hint="eastAsia"/>
          <w:sz w:val="24"/>
          <w:szCs w:val="24"/>
          <w:highlight w:val="none"/>
          <w:lang w:val="en-GB"/>
        </w:rPr>
      </w:pPr>
      <w:r>
        <w:rPr>
          <w:rFonts w:hint="eastAsia"/>
          <w:sz w:val="24"/>
          <w:szCs w:val="24"/>
          <w:highlight w:val="none"/>
          <w:lang w:val="en-GB"/>
        </w:rPr>
        <w:t>针对已获证的客户，</w:t>
      </w:r>
      <w:r>
        <w:rPr>
          <w:rFonts w:hint="eastAsia"/>
          <w:sz w:val="24"/>
          <w:szCs w:val="24"/>
          <w:highlight w:val="none"/>
          <w:lang w:val="en-GB" w:eastAsia="zh-CN"/>
        </w:rPr>
        <w:t>CQM</w:t>
      </w:r>
      <w:r>
        <w:rPr>
          <w:rFonts w:hint="eastAsia"/>
          <w:sz w:val="24"/>
          <w:szCs w:val="24"/>
          <w:highlight w:val="none"/>
          <w:lang w:val="en-GB"/>
        </w:rPr>
        <w:t>对扩大认证范围的申请进行评审，确定能否予以扩大的决定所需的审核活动，这一工作可与监督审核同时进行。</w:t>
      </w:r>
    </w:p>
    <w:p>
      <w:pPr>
        <w:spacing w:line="360" w:lineRule="auto"/>
        <w:rPr>
          <w:rFonts w:hint="eastAsia" w:ascii="宋体" w:hAnsi="宋体"/>
          <w:bCs/>
          <w:sz w:val="24"/>
          <w:highlight w:val="none"/>
        </w:rPr>
      </w:pPr>
      <w:r>
        <w:rPr>
          <w:rFonts w:hint="eastAsia" w:ascii="宋体" w:hAnsi="宋体"/>
          <w:bCs/>
          <w:sz w:val="24"/>
          <w:highlight w:val="none"/>
          <w:lang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spacing w:line="360" w:lineRule="auto"/>
        <w:ind w:firstLine="523" w:firstLineChars="218"/>
        <w:rPr>
          <w:rFonts w:hint="eastAsia"/>
          <w:highlight w:val="none"/>
          <w:lang w:val="en-GB"/>
        </w:rPr>
      </w:pPr>
      <w:r>
        <w:rPr>
          <w:rFonts w:hint="eastAsia"/>
          <w:sz w:val="24"/>
          <w:highlight w:val="none"/>
          <w:lang w:val="en-GB"/>
        </w:rPr>
        <w:t>为调查投诉、对变更做出回应或对被暂停的获证客户进行追踪，需要在提前较短时间通知获证客户后对其进行的审核。</w:t>
      </w:r>
    </w:p>
    <w:p>
      <w:pPr>
        <w:spacing w:line="360" w:lineRule="auto"/>
        <w:ind w:firstLine="480" w:firstLineChars="200"/>
        <w:rPr>
          <w:rFonts w:hint="eastAsia"/>
          <w:highlight w:val="none"/>
          <w:lang w:val="en-GB"/>
        </w:rPr>
      </w:pPr>
      <w:r>
        <w:rPr>
          <w:rFonts w:hint="eastAsia"/>
          <w:sz w:val="24"/>
          <w:highlight w:val="none"/>
          <w:lang w:val="en-GB"/>
        </w:rPr>
        <w:t>获证客户的产品和服务被国家行政主管部门在监督抽查中被查出不合格时，CQM将对获证客户实施特殊审核。如获证客户不接受特殊审核，认证证书将被暂停。</w:t>
      </w:r>
    </w:p>
    <w:p>
      <w:pPr>
        <w:pStyle w:val="3"/>
        <w:spacing w:before="0" w:after="0" w:line="360" w:lineRule="auto"/>
        <w:rPr>
          <w:rFonts w:hint="eastAsia" w:ascii="宋体" w:hAnsi="宋体" w:eastAsia="宋体"/>
          <w:sz w:val="24"/>
          <w:highlight w:val="none"/>
          <w:shd w:val="pct10" w:color="auto" w:fill="FFFFFF"/>
        </w:rPr>
      </w:pPr>
      <w:bookmarkStart w:id="76" w:name="_Toc9355"/>
      <w:r>
        <w:rPr>
          <w:rFonts w:hint="eastAsia" w:ascii="宋体" w:hAnsi="宋体" w:eastAsia="宋体"/>
          <w:sz w:val="24"/>
          <w:highlight w:val="none"/>
          <w:lang w:eastAsia="zh-CN"/>
        </w:rPr>
        <w:t>6</w:t>
      </w:r>
      <w:r>
        <w:rPr>
          <w:rFonts w:hint="eastAsia" w:ascii="宋体" w:hAnsi="宋体" w:eastAsia="宋体"/>
          <w:sz w:val="24"/>
          <w:highlight w:val="none"/>
        </w:rPr>
        <w:t>.</w:t>
      </w:r>
      <w:r>
        <w:rPr>
          <w:rFonts w:ascii="宋体" w:hAnsi="宋体" w:eastAsia="宋体"/>
          <w:sz w:val="24"/>
          <w:highlight w:val="none"/>
        </w:rPr>
        <w:t>3</w:t>
      </w:r>
      <w:r>
        <w:rPr>
          <w:rFonts w:hint="eastAsia" w:ascii="宋体" w:hAnsi="宋体" w:eastAsia="宋体"/>
          <w:sz w:val="24"/>
          <w:highlight w:val="none"/>
        </w:rPr>
        <w:t xml:space="preserve"> 现场审核活动实施</w:t>
      </w:r>
      <w:bookmarkEnd w:id="76"/>
    </w:p>
    <w:p>
      <w:pPr>
        <w:spacing w:line="360" w:lineRule="auto"/>
        <w:ind w:firstLine="480"/>
        <w:jc w:val="left"/>
        <w:rPr>
          <w:rFonts w:hint="eastAsia"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hint="eastAsia"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产品、服务形成过程和活动等适当方法，抽样收集并验证有关的信息，形成审核发现，确认不符合情况。</w:t>
      </w:r>
    </w:p>
    <w:p>
      <w:pPr>
        <w:spacing w:line="360" w:lineRule="auto"/>
        <w:ind w:firstLine="480"/>
        <w:jc w:val="left"/>
        <w:rPr>
          <w:rFonts w:hint="eastAsia"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hint="eastAsia"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77" w:name="_Toc17673"/>
      <w:bookmarkStart w:id="78" w:name="_Toc30792"/>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77"/>
      <w:bookmarkEnd w:id="78"/>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21"/>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21"/>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79" w:name="_Toc17300"/>
      <w:bookmarkStart w:id="80" w:name="_Toc3969"/>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79"/>
      <w:bookmarkEnd w:id="80"/>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81" w:name="_Toc1001"/>
      <w:bookmarkStart w:id="82" w:name="_Toc67"/>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81"/>
      <w:bookmarkEnd w:id="82"/>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ind w:firstLine="0"/>
        <w:jc w:val="left"/>
        <w:rPr>
          <w:rFonts w:hint="eastAsia" w:ascii="宋体" w:hAnsi="宋体"/>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pStyle w:val="2"/>
        <w:spacing w:line="600" w:lineRule="auto"/>
        <w:rPr>
          <w:color w:val="000000"/>
          <w:highlight w:val="none"/>
        </w:rPr>
      </w:pPr>
      <w:bookmarkStart w:id="83" w:name="_Toc12520"/>
      <w:bookmarkStart w:id="84" w:name="_Toc3051"/>
      <w:bookmarkStart w:id="85" w:name="_Toc4952"/>
      <w:bookmarkStart w:id="86" w:name="_Toc31604"/>
      <w:bookmarkStart w:id="87" w:name="_Toc24304"/>
      <w:r>
        <w:rPr>
          <w:rFonts w:hint="eastAsia"/>
          <w:highlight w:val="none"/>
          <w:lang w:val="en-US" w:eastAsia="zh-CN"/>
        </w:rPr>
        <w:t>10</w:t>
      </w:r>
      <w:r>
        <w:rPr>
          <w:rFonts w:hint="eastAsia"/>
          <w:highlight w:val="none"/>
        </w:rPr>
        <w:t xml:space="preserve"> 认证的批</w:t>
      </w:r>
      <w:r>
        <w:rPr>
          <w:rFonts w:hint="eastAsia"/>
          <w:color w:val="000000"/>
          <w:highlight w:val="none"/>
        </w:rPr>
        <w:t>准、</w:t>
      </w:r>
      <w:r>
        <w:rPr>
          <w:rFonts w:hint="eastAsia"/>
          <w:color w:val="000000"/>
          <w:highlight w:val="none"/>
          <w:lang w:eastAsia="zh-CN"/>
        </w:rPr>
        <w:t>拒绝、</w:t>
      </w:r>
      <w:r>
        <w:rPr>
          <w:rFonts w:hint="eastAsia"/>
          <w:color w:val="000000"/>
          <w:highlight w:val="none"/>
        </w:rPr>
        <w:t>保持、扩大、缩小、暂停、恢复和撤销的条件和程序</w:t>
      </w:r>
      <w:bookmarkEnd w:id="83"/>
      <w:bookmarkEnd w:id="84"/>
      <w:bookmarkEnd w:id="85"/>
      <w:bookmarkEnd w:id="86"/>
      <w:bookmarkEnd w:id="87"/>
    </w:p>
    <w:p>
      <w:pPr>
        <w:pStyle w:val="3"/>
        <w:spacing w:before="0" w:after="0" w:line="360" w:lineRule="auto"/>
        <w:rPr>
          <w:rFonts w:hint="eastAsia" w:ascii="宋体" w:hAnsi="宋体" w:eastAsia="宋体"/>
          <w:color w:val="000000"/>
          <w:sz w:val="24"/>
          <w:highlight w:val="none"/>
        </w:rPr>
      </w:pPr>
      <w:bookmarkStart w:id="88" w:name="_Toc30897"/>
      <w:r>
        <w:rPr>
          <w:rFonts w:hint="eastAsia" w:ascii="宋体" w:hAnsi="宋体" w:eastAsia="宋体"/>
          <w:color w:val="000000"/>
          <w:sz w:val="24"/>
          <w:highlight w:val="none"/>
          <w:lang w:val="en-US" w:eastAsia="zh-CN"/>
        </w:rPr>
        <w:t>10</w:t>
      </w:r>
      <w:r>
        <w:rPr>
          <w:rFonts w:hint="eastAsia" w:ascii="宋体" w:hAnsi="宋体" w:eastAsia="宋体"/>
          <w:color w:val="000000"/>
          <w:sz w:val="24"/>
          <w:highlight w:val="none"/>
        </w:rPr>
        <w:t>.1 批准认证</w:t>
      </w:r>
      <w:r>
        <w:rPr>
          <w:rFonts w:hint="eastAsia" w:ascii="宋体" w:hAnsi="宋体" w:eastAsia="宋体"/>
          <w:color w:val="000000"/>
          <w:sz w:val="24"/>
          <w:highlight w:val="none"/>
          <w:lang w:eastAsia="zh-CN"/>
        </w:rPr>
        <w:t>范围</w:t>
      </w:r>
      <w:r>
        <w:rPr>
          <w:rFonts w:hint="eastAsia" w:ascii="宋体" w:hAnsi="宋体" w:eastAsia="宋体"/>
          <w:color w:val="000000"/>
          <w:sz w:val="24"/>
          <w:highlight w:val="none"/>
        </w:rPr>
        <w:t>的条件和程序</w:t>
      </w:r>
      <w:bookmarkEnd w:id="88"/>
    </w:p>
    <w:p>
      <w:pPr>
        <w:spacing w:line="360" w:lineRule="auto"/>
        <w:rPr>
          <w:rFonts w:hint="eastAsia" w:ascii="宋体" w:hAnsi="宋体"/>
          <w:bCs/>
          <w:color w:val="000000"/>
          <w:sz w:val="24"/>
          <w:highlight w:val="none"/>
        </w:rPr>
      </w:pPr>
      <w:r>
        <w:rPr>
          <w:rFonts w:hint="eastAsia" w:ascii="宋体" w:hAnsi="宋体"/>
          <w:bCs/>
          <w:color w:val="000000"/>
          <w:sz w:val="24"/>
          <w:highlight w:val="none"/>
          <w:lang w:val="en-US" w:eastAsia="zh-CN"/>
        </w:rPr>
        <w:t>10</w:t>
      </w:r>
      <w:r>
        <w:rPr>
          <w:rFonts w:hint="eastAsia" w:ascii="宋体" w:hAnsi="宋体"/>
          <w:bCs/>
          <w:color w:val="000000"/>
          <w:sz w:val="24"/>
          <w:highlight w:val="none"/>
        </w:rPr>
        <w:t>.1.1 批准认证注册的条件</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认证客户的申请材料真实、准确、有效；</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认证客户建立和实施的管理体系符合认证标准/规范性文件要求，审核组提出推荐认证的结论意见；</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认证客户申请认证范围在法律地位文件和资质规定的范围内；</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国家或地方或行业有要求时，认证客户申请认证范围内的组织单元、产品、服务及其过程和活动已满足适用的法律法规的要求；</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审核证据表明管理评审和内部审核的安排已实施、有效且得到保持，并已进行了一次覆盖管理体系所有要求的完整内部审核；</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5"/>
        </w:numPr>
        <w:adjustRightInd w:val="0"/>
        <w:snapToGrid w:val="0"/>
        <w:spacing w:line="360" w:lineRule="auto"/>
        <w:ind w:left="714" w:hanging="357"/>
        <w:rPr>
          <w:rFonts w:hint="eastAsia" w:ascii="宋体" w:hAnsi="宋体"/>
          <w:sz w:val="24"/>
          <w:highlight w:val="none"/>
        </w:rPr>
      </w:pPr>
      <w:r>
        <w:rPr>
          <w:rFonts w:hint="eastAsia" w:ascii="宋体" w:hAnsi="宋体"/>
          <w:sz w:val="24"/>
          <w:highlight w:val="none"/>
        </w:rPr>
        <w:t>至少近一年来，认证客户申请认证范围内未发生重大</w:t>
      </w:r>
      <w:r>
        <w:rPr>
          <w:rFonts w:hint="eastAsia" w:ascii="宋体" w:hAnsi="宋体"/>
          <w:sz w:val="24"/>
          <w:highlight w:val="none"/>
          <w:lang w:val="en-US" w:eastAsia="zh-CN"/>
        </w:rPr>
        <w:t>信息</w:t>
      </w:r>
      <w:r>
        <w:rPr>
          <w:rFonts w:hint="eastAsia" w:ascii="宋体" w:hAnsi="宋体"/>
          <w:sz w:val="24"/>
          <w:highlight w:val="none"/>
        </w:rPr>
        <w:t>安全事故或国家检查不合格；</w:t>
      </w:r>
    </w:p>
    <w:p>
      <w:pPr>
        <w:numPr>
          <w:ilvl w:val="0"/>
          <w:numId w:val="5"/>
        </w:numPr>
        <w:adjustRightInd w:val="0"/>
        <w:snapToGrid w:val="0"/>
        <w:spacing w:line="360" w:lineRule="auto"/>
        <w:rPr>
          <w:rFonts w:hint="eastAsia" w:ascii="宋体" w:hAnsi="宋体"/>
          <w:sz w:val="24"/>
          <w:highlight w:val="none"/>
        </w:rPr>
      </w:pPr>
      <w:r>
        <w:rPr>
          <w:rFonts w:hint="eastAsia" w:ascii="宋体" w:hAnsi="宋体"/>
          <w:sz w:val="24"/>
          <w:highlight w:val="none"/>
        </w:rPr>
        <w:t>认证客户已与方圆签署认证合同，承诺始终遵守认证的有关规定，并按照认证合同规定缴纳认证费用。</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.1.2 批准认证资格的程序</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认证客户向CQM正式提交认证申请书和相关附件；</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.1.1批准认证资格的条件，经CQM审定，认为认证客户在认证范围内已满足批准认证资格的条件，同意批准认证；</w:t>
      </w:r>
    </w:p>
    <w:p>
      <w:pPr>
        <w:numPr>
          <w:ilvl w:val="0"/>
          <w:numId w:val="6"/>
        </w:numPr>
        <w:tabs>
          <w:tab w:val="left" w:pos="180"/>
          <w:tab w:val="left" w:pos="360"/>
          <w:tab w:val="left" w:pos="540"/>
          <w:tab w:val="left" w:pos="720"/>
          <w:tab w:val="left" w:pos="900"/>
          <w:tab w:val="clear" w:pos="719"/>
        </w:tabs>
        <w:spacing w:line="360" w:lineRule="auto"/>
        <w:rPr>
          <w:rFonts w:hint="eastAsia" w:ascii="宋体" w:hAnsi="宋体"/>
          <w:sz w:val="24"/>
          <w:highlight w:val="none"/>
        </w:rPr>
      </w:pPr>
      <w:r>
        <w:rPr>
          <w:rFonts w:hint="eastAsia" w:ascii="宋体" w:hAnsi="宋体"/>
          <w:sz w:val="24"/>
          <w:highlight w:val="none"/>
        </w:rPr>
        <w:t>CQM向认证客户颁发认证证书，要求获证方按规定使用认证标志。</w:t>
      </w:r>
    </w:p>
    <w:p>
      <w:pPr>
        <w:pStyle w:val="3"/>
        <w:spacing w:before="0" w:after="0" w:line="360" w:lineRule="auto"/>
        <w:rPr>
          <w:rFonts w:hint="eastAsia" w:ascii="宋体" w:hAnsi="宋体" w:eastAsia="宋体"/>
          <w:sz w:val="24"/>
          <w:highlight w:val="none"/>
        </w:rPr>
      </w:pPr>
      <w:bookmarkStart w:id="89" w:name="_Toc17175"/>
      <w:r>
        <w:rPr>
          <w:rFonts w:hint="eastAsia" w:ascii="宋体" w:hAnsi="宋体" w:eastAsia="宋体"/>
          <w:sz w:val="24"/>
          <w:highlight w:val="none"/>
          <w:lang w:val="en-US" w:eastAsia="zh-CN"/>
        </w:rPr>
        <w:t>10</w:t>
      </w:r>
      <w:r>
        <w:rPr>
          <w:rFonts w:hint="eastAsia" w:ascii="宋体" w:hAnsi="宋体" w:eastAsia="宋体"/>
          <w:sz w:val="24"/>
          <w:highlight w:val="none"/>
        </w:rPr>
        <w:t xml:space="preserve">.2 </w:t>
      </w:r>
      <w:r>
        <w:rPr>
          <w:rFonts w:hint="eastAsia" w:ascii="宋体" w:hAnsi="宋体" w:eastAsia="宋体"/>
          <w:sz w:val="24"/>
          <w:highlight w:val="none"/>
          <w:lang w:eastAsia="zh-CN"/>
        </w:rPr>
        <w:t>拒绝</w:t>
      </w:r>
      <w:r>
        <w:rPr>
          <w:rFonts w:hint="eastAsia" w:ascii="宋体" w:hAnsi="宋体" w:eastAsia="宋体"/>
          <w:sz w:val="24"/>
          <w:highlight w:val="none"/>
        </w:rPr>
        <w:t>认证</w:t>
      </w:r>
      <w:r>
        <w:rPr>
          <w:rFonts w:hint="eastAsia" w:ascii="宋体" w:hAnsi="宋体" w:eastAsia="宋体"/>
          <w:sz w:val="24"/>
          <w:highlight w:val="none"/>
          <w:lang w:eastAsia="zh-CN"/>
        </w:rPr>
        <w:t>注册</w:t>
      </w:r>
      <w:r>
        <w:rPr>
          <w:rFonts w:hint="eastAsia" w:ascii="宋体" w:hAnsi="宋体" w:eastAsia="宋体"/>
          <w:sz w:val="24"/>
          <w:highlight w:val="none"/>
        </w:rPr>
        <w:t>的条件和程序</w:t>
      </w:r>
      <w:bookmarkEnd w:id="89"/>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.2.1 拒绝认证资格的条件</w:t>
      </w:r>
    </w:p>
    <w:p>
      <w:pPr>
        <w:numPr>
          <w:ilvl w:val="0"/>
          <w:numId w:val="7"/>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cs="宋体"/>
          <w:sz w:val="24"/>
          <w:highlight w:val="none"/>
        </w:rPr>
        <w:t>认证客户信息未通过CQM的申请评审，评审为</w:t>
      </w:r>
      <w:r>
        <w:rPr>
          <w:rFonts w:hint="eastAsia" w:ascii="宋体" w:hAnsi="宋体"/>
          <w:sz w:val="24"/>
          <w:highlight w:val="none"/>
        </w:rPr>
        <w:t>不予受理认证申请；</w:t>
      </w:r>
      <w:r>
        <w:rPr>
          <w:rFonts w:ascii="宋体" w:hAnsi="宋体"/>
          <w:sz w:val="24"/>
          <w:highlight w:val="none"/>
        </w:rPr>
        <w:t xml:space="preserve"> </w:t>
      </w:r>
    </w:p>
    <w:p>
      <w:pPr>
        <w:numPr>
          <w:ilvl w:val="0"/>
          <w:numId w:val="7"/>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CQM审核组现场审核结论为“不推荐认证注册”；</w:t>
      </w:r>
    </w:p>
    <w:p>
      <w:pPr>
        <w:widowControl/>
        <w:numPr>
          <w:ilvl w:val="0"/>
          <w:numId w:val="7"/>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认证客户的管理体系有重大缺陷，不符合认证标准的要求，或认证客户存在重大</w:t>
      </w:r>
      <w:r>
        <w:rPr>
          <w:rFonts w:hint="eastAsia" w:ascii="宋体" w:hAnsi="宋体" w:cs="宋体"/>
          <w:sz w:val="24"/>
          <w:highlight w:val="none"/>
          <w:lang w:val="en-US" w:eastAsia="zh-CN"/>
        </w:rPr>
        <w:t>信息安全</w:t>
      </w:r>
      <w:r>
        <w:rPr>
          <w:rFonts w:hint="eastAsia" w:ascii="宋体" w:hAnsi="宋体" w:cs="宋体"/>
          <w:sz w:val="24"/>
          <w:highlight w:val="none"/>
        </w:rPr>
        <w:t>问题及与认证范围内相关严重违法违规行为，经CQM的审定结论为不予认证注册；</w:t>
      </w:r>
    </w:p>
    <w:p>
      <w:pPr>
        <w:widowControl/>
        <w:numPr>
          <w:ilvl w:val="0"/>
          <w:numId w:val="7"/>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cs="宋体"/>
          <w:sz w:val="24"/>
          <w:highlight w:val="none"/>
        </w:rPr>
        <w:t>初次认证第二阶段后，认证客户未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不符合，或未按规定接受CQM再次实施的二阶段审核；</w:t>
      </w:r>
    </w:p>
    <w:p>
      <w:pPr>
        <w:widowControl/>
        <w:numPr>
          <w:ilvl w:val="0"/>
          <w:numId w:val="7"/>
        </w:numPr>
        <w:tabs>
          <w:tab w:val="left" w:pos="720"/>
          <w:tab w:val="left" w:pos="900"/>
          <w:tab w:val="clear" w:pos="1050"/>
        </w:tabs>
        <w:spacing w:line="360" w:lineRule="auto"/>
        <w:ind w:left="720" w:hanging="360"/>
        <w:jc w:val="left"/>
        <w:rPr>
          <w:rFonts w:hint="eastAsia" w:ascii="宋体" w:hAnsi="宋体" w:cs="宋体"/>
          <w:sz w:val="24"/>
          <w:highlight w:val="none"/>
        </w:rPr>
      </w:pPr>
      <w:r>
        <w:rPr>
          <w:rFonts w:hint="eastAsia" w:ascii="宋体" w:hAnsi="宋体"/>
          <w:bCs/>
          <w:color w:val="000000"/>
          <w:sz w:val="24"/>
          <w:highlight w:val="none"/>
        </w:rPr>
        <w:t>再认证审核后，</w:t>
      </w:r>
      <w:r>
        <w:rPr>
          <w:rFonts w:hint="eastAsia" w:ascii="宋体" w:hAnsi="宋体" w:cs="宋体"/>
          <w:sz w:val="24"/>
          <w:highlight w:val="none"/>
        </w:rPr>
        <w:t>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不符合（包括CQM审定提出的不符合）</w:t>
      </w:r>
      <w:r>
        <w:rPr>
          <w:rFonts w:hint="eastAsia" w:ascii="宋体" w:hAnsi="宋体"/>
          <w:bCs/>
          <w:color w:val="000000"/>
          <w:sz w:val="24"/>
          <w:highlight w:val="none"/>
        </w:rPr>
        <w:t>；</w:t>
      </w:r>
    </w:p>
    <w:p>
      <w:pPr>
        <w:numPr>
          <w:ilvl w:val="0"/>
          <w:numId w:val="7"/>
        </w:numPr>
        <w:tabs>
          <w:tab w:val="left" w:pos="720"/>
          <w:tab w:val="left" w:pos="900"/>
          <w:tab w:val="clear" w:pos="1050"/>
        </w:tabs>
        <w:spacing w:line="360" w:lineRule="auto"/>
        <w:ind w:left="720" w:hanging="360"/>
        <w:rPr>
          <w:rFonts w:hint="eastAsia" w:ascii="宋体" w:hAnsi="宋体" w:cs="宋体"/>
          <w:sz w:val="24"/>
          <w:highlight w:val="none"/>
        </w:rPr>
      </w:pPr>
      <w:r>
        <w:rPr>
          <w:rFonts w:hint="eastAsia" w:ascii="宋体" w:hAnsi="宋体" w:cs="宋体"/>
          <w:sz w:val="24"/>
          <w:highlight w:val="none"/>
        </w:rPr>
        <w:t>除以上情况外，CQM的审定结论为不予认证注册。</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.2.2 拒绝认证注册的程序</w:t>
      </w:r>
    </w:p>
    <w:p>
      <w:pPr>
        <w:pStyle w:val="8"/>
        <w:numPr>
          <w:ilvl w:val="1"/>
          <w:numId w:val="6"/>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iCs/>
          <w:sz w:val="24"/>
          <w:highlight w:val="none"/>
          <w:lang w:eastAsia="zh-CN"/>
        </w:rPr>
        <w:t>符合</w:t>
      </w:r>
      <w:r>
        <w:rPr>
          <w:rFonts w:hint="eastAsia" w:ascii="宋体" w:hAnsi="宋体"/>
          <w:iCs/>
          <w:sz w:val="24"/>
          <w:highlight w:val="none"/>
          <w:lang w:val="en-US" w:eastAsia="zh-CN"/>
        </w:rPr>
        <w:t>10</w:t>
      </w:r>
      <w:r>
        <w:rPr>
          <w:rFonts w:hint="eastAsia" w:ascii="宋体" w:hAnsi="宋体"/>
          <w:iCs/>
          <w:sz w:val="24"/>
          <w:highlight w:val="none"/>
        </w:rPr>
        <w:t>.2.1条件</w:t>
      </w:r>
      <w:r>
        <w:rPr>
          <w:rFonts w:hint="eastAsia" w:ascii="宋体" w:hAnsi="宋体"/>
          <w:iCs/>
          <w:sz w:val="24"/>
          <w:highlight w:val="none"/>
          <w:lang w:eastAsia="zh-CN"/>
        </w:rPr>
        <w:t>之一</w:t>
      </w:r>
      <w:r>
        <w:rPr>
          <w:rFonts w:hint="eastAsia" w:ascii="宋体" w:hAnsi="宋体"/>
          <w:iCs/>
          <w:sz w:val="24"/>
          <w:highlight w:val="none"/>
        </w:rPr>
        <w:t>，</w:t>
      </w:r>
      <w:r>
        <w:rPr>
          <w:rFonts w:hint="eastAsia" w:ascii="宋体" w:hAnsi="宋体"/>
          <w:iCs/>
          <w:sz w:val="24"/>
          <w:highlight w:val="none"/>
          <w:lang w:eastAsia="zh-CN"/>
        </w:rPr>
        <w:t>经CQM</w:t>
      </w:r>
      <w:r>
        <w:rPr>
          <w:rFonts w:hint="eastAsia" w:ascii="宋体" w:hAnsi="宋体"/>
          <w:sz w:val="24"/>
          <w:highlight w:val="none"/>
        </w:rPr>
        <w:t>评审</w:t>
      </w:r>
      <w:r>
        <w:rPr>
          <w:rFonts w:hint="eastAsia" w:ascii="宋体" w:hAnsi="宋体"/>
          <w:sz w:val="24"/>
          <w:highlight w:val="none"/>
          <w:lang w:eastAsia="zh-CN"/>
        </w:rPr>
        <w:t>为</w:t>
      </w:r>
      <w:r>
        <w:rPr>
          <w:rFonts w:hint="eastAsia" w:ascii="宋体" w:hAnsi="宋体"/>
          <w:sz w:val="24"/>
          <w:highlight w:val="none"/>
        </w:rPr>
        <w:t>不予受理</w:t>
      </w:r>
      <w:r>
        <w:rPr>
          <w:rFonts w:hint="eastAsia" w:ascii="宋体" w:hAnsi="宋体"/>
          <w:sz w:val="24"/>
          <w:highlight w:val="none"/>
          <w:lang w:eastAsia="zh-CN"/>
        </w:rPr>
        <w:t>认证或认证</w:t>
      </w:r>
      <w:r>
        <w:rPr>
          <w:rFonts w:hint="eastAsia" w:ascii="宋体" w:hAnsi="宋体"/>
          <w:sz w:val="24"/>
          <w:highlight w:val="none"/>
        </w:rPr>
        <w:t>客户的管理体系不满足批准认证资格条件</w:t>
      </w:r>
      <w:r>
        <w:rPr>
          <w:rFonts w:hint="eastAsia" w:ascii="宋体" w:hAnsi="宋体"/>
          <w:color w:val="000000"/>
          <w:sz w:val="24"/>
          <w:highlight w:val="none"/>
        </w:rPr>
        <w:t>；</w:t>
      </w:r>
      <w:r>
        <w:rPr>
          <w:rFonts w:hint="eastAsia" w:ascii="宋体" w:hAnsi="宋体"/>
          <w:bCs/>
          <w:iCs/>
          <w:sz w:val="24"/>
          <w:highlight w:val="none"/>
        </w:rPr>
        <w:t xml:space="preserve"> </w:t>
      </w:r>
    </w:p>
    <w:p>
      <w:pPr>
        <w:pStyle w:val="8"/>
        <w:numPr>
          <w:ilvl w:val="1"/>
          <w:numId w:val="6"/>
        </w:numPr>
        <w:tabs>
          <w:tab w:val="left" w:pos="720"/>
          <w:tab w:val="clear" w:pos="1139"/>
        </w:tabs>
        <w:spacing w:after="0" w:line="360" w:lineRule="auto"/>
        <w:ind w:left="720" w:leftChars="0"/>
        <w:rPr>
          <w:rFonts w:hint="eastAsia"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pStyle w:val="3"/>
        <w:spacing w:before="0" w:after="0" w:line="360" w:lineRule="auto"/>
        <w:rPr>
          <w:rFonts w:hint="eastAsia" w:ascii="宋体" w:hAnsi="宋体" w:eastAsia="宋体"/>
          <w:sz w:val="24"/>
          <w:highlight w:val="none"/>
        </w:rPr>
      </w:pPr>
      <w:bookmarkStart w:id="90" w:name="_Toc1414"/>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3</w:t>
      </w:r>
      <w:r>
        <w:rPr>
          <w:rFonts w:hint="eastAsia" w:ascii="宋体" w:hAnsi="宋体" w:eastAsia="宋体"/>
          <w:sz w:val="24"/>
          <w:highlight w:val="none"/>
        </w:rPr>
        <w:t xml:space="preserve"> 保持认证资格的条件和程序</w:t>
      </w:r>
      <w:bookmarkEnd w:id="90"/>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.3.1 保持认证资格的条件</w:t>
      </w:r>
    </w:p>
    <w:p>
      <w:pPr>
        <w:numPr>
          <w:ilvl w:val="0"/>
          <w:numId w:val="8"/>
        </w:numPr>
        <w:tabs>
          <w:tab w:val="left" w:pos="720"/>
        </w:tabs>
        <w:spacing w:line="360" w:lineRule="auto"/>
        <w:ind w:left="709" w:hanging="349"/>
        <w:rPr>
          <w:rFonts w:hint="eastAsia" w:ascii="宋体" w:hAnsi="宋体"/>
          <w:sz w:val="24"/>
          <w:highlight w:val="none"/>
        </w:rPr>
      </w:pPr>
      <w:r>
        <w:rPr>
          <w:rFonts w:hint="eastAsia" w:ascii="宋体" w:hAnsi="宋体"/>
          <w:sz w:val="24"/>
          <w:highlight w:val="none"/>
        </w:rPr>
        <w:t>获证客户的法律地位、行政许可文件持续符合国家的最新要求，并且认证范围在法律地位文件和行政许可文件规定的范围内；</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获证客户持续遵守认证有关的规定，包括变更的规定；</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获证客户在认证范围内的组织单元、产品、服务及其过程和活动持续满足适用的最新法律法规的要求，如发生不满足时及时采取有效的措施；</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获证客户于获证期内，认证范围内涉及的产品/服务/活动未发生重大事故和国家检查不合格；</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获证客户在获证期间未发生误用认证证书和认证标志，如有发生能及时有效地采取纠正和纠正措施，并将误用产生的影响降至最少程度；</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8"/>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hint="eastAsia" w:ascii="宋体" w:hAnsi="宋体"/>
          <w:bCs/>
          <w:i/>
          <w:iCs/>
          <w:sz w:val="24"/>
          <w:highlight w:val="none"/>
        </w:rPr>
      </w:pPr>
      <w:r>
        <w:rPr>
          <w:rFonts w:hint="eastAsia" w:ascii="宋体" w:hAnsi="宋体"/>
          <w:bCs/>
          <w:sz w:val="24"/>
          <w:highlight w:val="none"/>
          <w:lang w:val="en-US" w:eastAsia="zh-CN"/>
        </w:rPr>
        <w:t>10</w:t>
      </w:r>
      <w:r>
        <w:rPr>
          <w:rFonts w:hint="eastAsia" w:ascii="宋体" w:hAnsi="宋体"/>
          <w:bCs/>
          <w:sz w:val="24"/>
          <w:highlight w:val="none"/>
        </w:rPr>
        <w:t>.3.2 保持认证资格的程序</w:t>
      </w:r>
    </w:p>
    <w:p>
      <w:pPr>
        <w:numPr>
          <w:ilvl w:val="0"/>
          <w:numId w:val="9"/>
        </w:numPr>
        <w:tabs>
          <w:tab w:val="left" w:pos="720"/>
          <w:tab w:val="clear" w:pos="1050"/>
        </w:tabs>
        <w:spacing w:line="360" w:lineRule="auto"/>
        <w:ind w:left="709" w:hanging="349"/>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 xml:space="preserve">.3.1保持认证资格的条件，监督审核后，经CQM派出的审核组长确认和CQM审查后认为获证客户在认证范围内能持续满足保持认证资格的条件，同意保持认证资格，由CQM签发确认证书并向获证客户发放；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9"/>
        </w:numPr>
        <w:tabs>
          <w:tab w:val="left" w:pos="720"/>
        </w:tabs>
        <w:spacing w:line="360" w:lineRule="auto"/>
        <w:ind w:left="720" w:hanging="360"/>
        <w:rPr>
          <w:rFonts w:hint="eastAsia"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pStyle w:val="3"/>
        <w:spacing w:before="0" w:after="0" w:line="360" w:lineRule="auto"/>
        <w:rPr>
          <w:rFonts w:hint="eastAsia" w:ascii="宋体" w:hAnsi="宋体" w:eastAsia="宋体"/>
          <w:sz w:val="24"/>
          <w:highlight w:val="none"/>
          <w:lang w:eastAsia="zh-CN"/>
        </w:rPr>
      </w:pPr>
      <w:bookmarkStart w:id="91" w:name="_Toc26243"/>
      <w:r>
        <w:rPr>
          <w:rFonts w:hint="eastAsia" w:ascii="宋体" w:hAnsi="宋体" w:eastAsia="宋体"/>
          <w:sz w:val="24"/>
          <w:highlight w:val="none"/>
          <w:lang w:val="en-US" w:eastAsia="zh-CN"/>
        </w:rPr>
        <w:t>10</w:t>
      </w:r>
      <w:r>
        <w:rPr>
          <w:rFonts w:ascii="宋体" w:hAnsi="宋体" w:eastAsia="宋体"/>
          <w:sz w:val="24"/>
          <w:highlight w:val="none"/>
        </w:rPr>
        <w:t>.</w:t>
      </w:r>
      <w:r>
        <w:rPr>
          <w:rFonts w:hint="eastAsia" w:ascii="宋体" w:hAnsi="宋体" w:eastAsia="宋体"/>
          <w:sz w:val="24"/>
          <w:highlight w:val="none"/>
          <w:lang w:eastAsia="zh-CN"/>
        </w:rPr>
        <w:t>4</w:t>
      </w:r>
      <w:r>
        <w:rPr>
          <w:rFonts w:hint="eastAsia" w:ascii="宋体" w:hAnsi="宋体" w:eastAsia="宋体"/>
          <w:sz w:val="24"/>
          <w:highlight w:val="none"/>
        </w:rPr>
        <w:t xml:space="preserve"> 扩大认证范围的条件和程序</w:t>
      </w:r>
      <w:bookmarkEnd w:id="91"/>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.4.1 扩大认证范围的分类</w:t>
      </w:r>
    </w:p>
    <w:p>
      <w:pPr>
        <w:numPr>
          <w:ilvl w:val="0"/>
          <w:numId w:val="10"/>
        </w:numPr>
        <w:spacing w:line="400" w:lineRule="exact"/>
        <w:rPr>
          <w:rFonts w:ascii="宋体" w:hAnsi="宋体"/>
          <w:sz w:val="24"/>
          <w:highlight w:val="none"/>
        </w:rPr>
      </w:pPr>
      <w:r>
        <w:rPr>
          <w:rFonts w:hint="eastAsia" w:ascii="宋体" w:hAnsi="宋体"/>
          <w:sz w:val="24"/>
          <w:highlight w:val="none"/>
        </w:rPr>
        <w:t>获证客户名称增加、固定分场所增加、区域或生产单元扩大；</w:t>
      </w:r>
    </w:p>
    <w:p>
      <w:pPr>
        <w:numPr>
          <w:ilvl w:val="0"/>
          <w:numId w:val="10"/>
        </w:numPr>
        <w:spacing w:line="400" w:lineRule="exact"/>
        <w:rPr>
          <w:rFonts w:ascii="宋体" w:hAnsi="宋体"/>
          <w:sz w:val="24"/>
          <w:highlight w:val="none"/>
        </w:rPr>
      </w:pPr>
      <w:r>
        <w:rPr>
          <w:rFonts w:hint="eastAsia" w:ascii="宋体" w:hAnsi="宋体"/>
          <w:sz w:val="24"/>
          <w:highlight w:val="none"/>
        </w:rPr>
        <w:t>产品或服务类别增加；</w:t>
      </w:r>
    </w:p>
    <w:p>
      <w:pPr>
        <w:numPr>
          <w:ilvl w:val="0"/>
          <w:numId w:val="10"/>
        </w:numPr>
        <w:spacing w:line="400" w:lineRule="exact"/>
        <w:rPr>
          <w:rFonts w:hint="eastAsia"/>
          <w:highlight w:val="none"/>
        </w:rPr>
      </w:pPr>
      <w:r>
        <w:rPr>
          <w:rFonts w:hint="eastAsia" w:ascii="宋体" w:hAnsi="宋体"/>
          <w:sz w:val="24"/>
          <w:highlight w:val="none"/>
        </w:rPr>
        <w:t>产品形成主要过程增加，如产品设计、产品安装。</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.4.2 扩大认证范围的条件</w:t>
      </w:r>
    </w:p>
    <w:p>
      <w:pPr>
        <w:numPr>
          <w:ilvl w:val="0"/>
          <w:numId w:val="11"/>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11"/>
        </w:numPr>
        <w:spacing w:line="400" w:lineRule="exact"/>
        <w:rPr>
          <w:rFonts w:hint="eastAsia"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1"/>
        </w:numPr>
        <w:spacing w:line="400" w:lineRule="exact"/>
        <w:rPr>
          <w:rFonts w:hint="eastAsia" w:ascii="宋体" w:hAnsi="宋体"/>
          <w:sz w:val="24"/>
          <w:highlight w:val="none"/>
        </w:rPr>
      </w:pPr>
      <w:r>
        <w:rPr>
          <w:rFonts w:hint="eastAsia" w:ascii="宋体" w:hAnsi="宋体"/>
          <w:sz w:val="24"/>
          <w:highlight w:val="none"/>
        </w:rPr>
        <w:t>国家或地方或行业有要求时，获证客户在申请扩大认证范围内的组织单元、产品、服务及其过程和活动，已满足适用的法律法规的要求；</w:t>
      </w:r>
    </w:p>
    <w:p>
      <w:pPr>
        <w:numPr>
          <w:ilvl w:val="0"/>
          <w:numId w:val="11"/>
        </w:numPr>
        <w:spacing w:line="400" w:lineRule="exact"/>
        <w:rPr>
          <w:rFonts w:hint="eastAsia"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1"/>
        </w:numPr>
        <w:spacing w:line="360" w:lineRule="auto"/>
        <w:rPr>
          <w:rFonts w:hint="eastAsia"/>
          <w:iCs/>
          <w:sz w:val="24"/>
          <w:highlight w:val="none"/>
        </w:rPr>
      </w:pPr>
      <w:r>
        <w:rPr>
          <w:rFonts w:hint="eastAsia" w:ascii="宋体" w:hAnsi="宋体"/>
          <w:sz w:val="24"/>
          <w:highlight w:val="none"/>
        </w:rPr>
        <w:t>获证客户按照认证规定缴纳补充认证费用。</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.4.3 扩大认证范围的程序</w:t>
      </w:r>
    </w:p>
    <w:p>
      <w:pPr>
        <w:numPr>
          <w:ilvl w:val="0"/>
          <w:numId w:val="12"/>
        </w:numPr>
        <w:spacing w:line="400" w:lineRule="exact"/>
        <w:rPr>
          <w:rFonts w:hint="eastAsia"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2"/>
        </w:numPr>
        <w:spacing w:line="400" w:lineRule="exact"/>
        <w:rPr>
          <w:rFonts w:hint="eastAsia"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2"/>
        </w:numPr>
        <w:spacing w:line="400" w:lineRule="exact"/>
        <w:rPr>
          <w:rFonts w:hint="eastAsia"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2"/>
        </w:numPr>
        <w:spacing w:line="400" w:lineRule="exact"/>
        <w:rPr>
          <w:rFonts w:hint="eastAsia" w:ascii="宋体" w:hAnsi="宋体"/>
          <w:sz w:val="24"/>
          <w:highlight w:val="none"/>
        </w:rPr>
      </w:pPr>
      <w:r>
        <w:rPr>
          <w:rFonts w:hint="eastAsia" w:ascii="宋体" w:hAnsi="宋体"/>
          <w:sz w:val="24"/>
          <w:highlight w:val="none"/>
        </w:rPr>
        <w:t>满足</w:t>
      </w:r>
      <w:r>
        <w:rPr>
          <w:rFonts w:hint="eastAsia" w:ascii="宋体" w:hAnsi="宋体"/>
          <w:sz w:val="24"/>
          <w:highlight w:val="none"/>
          <w:lang w:val="en-US" w:eastAsia="zh-CN"/>
        </w:rPr>
        <w:t>10</w:t>
      </w:r>
      <w:r>
        <w:rPr>
          <w:rFonts w:hint="eastAsia" w:ascii="宋体" w:hAnsi="宋体"/>
          <w:sz w:val="24"/>
          <w:highlight w:val="none"/>
        </w:rPr>
        <w:t>.4.1扩大认证范围的条件，经CQM审核、审定，认为获证客户在申请扩大认证范围内已满足批准认证资格的条件，同意批准扩大认证范围，认证证书的注册号和有效期保持不变；</w:t>
      </w:r>
    </w:p>
    <w:p>
      <w:pPr>
        <w:numPr>
          <w:ilvl w:val="0"/>
          <w:numId w:val="12"/>
        </w:numPr>
        <w:spacing w:line="400" w:lineRule="exact"/>
        <w:rPr>
          <w:rFonts w:hint="eastAsia" w:ascii="宋体" w:hAnsi="宋体"/>
          <w:sz w:val="24"/>
          <w:highlight w:val="none"/>
        </w:rPr>
      </w:pPr>
      <w:r>
        <w:rPr>
          <w:rFonts w:hint="eastAsia" w:ascii="宋体" w:hAnsi="宋体"/>
          <w:sz w:val="24"/>
          <w:highlight w:val="none"/>
        </w:rPr>
        <w:t>CQM向获证客户送交新认证证书，同时收回原证书。</w:t>
      </w:r>
    </w:p>
    <w:p>
      <w:pPr>
        <w:pStyle w:val="3"/>
        <w:spacing w:before="0" w:after="0" w:line="360" w:lineRule="auto"/>
        <w:rPr>
          <w:rFonts w:hint="eastAsia" w:ascii="宋体" w:hAnsi="宋体" w:eastAsia="宋体"/>
          <w:sz w:val="24"/>
          <w:highlight w:val="none"/>
          <w:lang w:eastAsia="zh-CN"/>
        </w:rPr>
      </w:pPr>
      <w:bookmarkStart w:id="92" w:name="_Toc25371"/>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5</w:t>
      </w:r>
      <w:r>
        <w:rPr>
          <w:rFonts w:hint="eastAsia" w:ascii="宋体" w:hAnsi="宋体" w:eastAsia="宋体"/>
          <w:sz w:val="24"/>
          <w:highlight w:val="none"/>
        </w:rPr>
        <w:t xml:space="preserve"> 缩小认证范围的条件和程序</w:t>
      </w:r>
      <w:bookmarkEnd w:id="92"/>
    </w:p>
    <w:p>
      <w:pPr>
        <w:spacing w:line="360" w:lineRule="auto"/>
        <w:rPr>
          <w:rFonts w:hint="eastAsia"/>
          <w:highlight w:val="none"/>
        </w:rPr>
      </w:pPr>
      <w:r>
        <w:rPr>
          <w:rFonts w:hint="eastAsia" w:ascii="宋体" w:hAnsi="宋体"/>
          <w:bCs/>
          <w:sz w:val="24"/>
          <w:highlight w:val="none"/>
          <w:lang w:val="en-US" w:eastAsia="zh-CN"/>
        </w:rPr>
        <w:t>10</w:t>
      </w:r>
      <w:r>
        <w:rPr>
          <w:rFonts w:hint="eastAsia" w:ascii="宋体" w:hAnsi="宋体"/>
          <w:bCs/>
          <w:sz w:val="24"/>
          <w:highlight w:val="none"/>
        </w:rPr>
        <w:t>.5.1 缩小认证范围的分类</w:t>
      </w:r>
    </w:p>
    <w:p>
      <w:pPr>
        <w:numPr>
          <w:ilvl w:val="0"/>
          <w:numId w:val="13"/>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获证客户固定分场所、区域或生产单元缩小；</w:t>
      </w:r>
    </w:p>
    <w:p>
      <w:pPr>
        <w:numPr>
          <w:ilvl w:val="0"/>
          <w:numId w:val="13"/>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产品类别减少；</w:t>
      </w:r>
    </w:p>
    <w:p>
      <w:pPr>
        <w:numPr>
          <w:ilvl w:val="0"/>
          <w:numId w:val="13"/>
        </w:numPr>
        <w:tabs>
          <w:tab w:val="left" w:pos="720"/>
          <w:tab w:val="clear" w:pos="1078"/>
        </w:tabs>
        <w:spacing w:line="360" w:lineRule="auto"/>
        <w:ind w:left="720"/>
        <w:rPr>
          <w:rFonts w:ascii="宋体" w:hAnsi="宋体"/>
          <w:bCs/>
          <w:sz w:val="24"/>
          <w:highlight w:val="none"/>
        </w:rPr>
      </w:pPr>
      <w:r>
        <w:rPr>
          <w:rFonts w:hint="eastAsia" w:ascii="宋体" w:hAnsi="宋体"/>
          <w:bCs/>
          <w:sz w:val="24"/>
          <w:highlight w:val="none"/>
        </w:rPr>
        <w:t>产品形成主要过程减少，如产品设计、产品安装；</w:t>
      </w:r>
    </w:p>
    <w:p>
      <w:pPr>
        <w:numPr>
          <w:ilvl w:val="0"/>
          <w:numId w:val="13"/>
        </w:numPr>
        <w:tabs>
          <w:tab w:val="left" w:pos="720"/>
          <w:tab w:val="clear" w:pos="1078"/>
        </w:tabs>
        <w:spacing w:line="360" w:lineRule="auto"/>
        <w:ind w:left="720"/>
        <w:rPr>
          <w:rFonts w:hint="eastAsia"/>
          <w:highlight w:val="none"/>
        </w:rPr>
      </w:pPr>
      <w:r>
        <w:rPr>
          <w:rFonts w:hint="eastAsia" w:ascii="宋体" w:hAnsi="宋体"/>
          <w:bCs/>
          <w:sz w:val="24"/>
          <w:highlight w:val="none"/>
        </w:rPr>
        <w:t>多个组织认证减少组织数量。</w:t>
      </w:r>
    </w:p>
    <w:p>
      <w:pPr>
        <w:spacing w:line="360" w:lineRule="auto"/>
        <w:rPr>
          <w:rFonts w:hint="eastAsia"/>
          <w:highlight w:val="none"/>
        </w:rPr>
      </w:pPr>
      <w:r>
        <w:rPr>
          <w:rFonts w:hint="eastAsia" w:ascii="宋体" w:hAnsi="宋体"/>
          <w:bCs/>
          <w:sz w:val="24"/>
          <w:highlight w:val="none"/>
          <w:lang w:val="en-US" w:eastAsia="zh-CN"/>
        </w:rPr>
        <w:t>10</w:t>
      </w:r>
      <w:r>
        <w:rPr>
          <w:rFonts w:hint="eastAsia" w:ascii="宋体" w:hAnsi="宋体"/>
          <w:bCs/>
          <w:sz w:val="24"/>
          <w:highlight w:val="none"/>
        </w:rPr>
        <w:t>.5.2 缩小认证范围的条件</w:t>
      </w:r>
    </w:p>
    <w:p>
      <w:pPr>
        <w:numPr>
          <w:ilvl w:val="0"/>
          <w:numId w:val="14"/>
        </w:numPr>
        <w:tabs>
          <w:tab w:val="left" w:pos="709"/>
          <w:tab w:val="clear" w:pos="1078"/>
        </w:tabs>
        <w:spacing w:line="360" w:lineRule="auto"/>
        <w:ind w:left="720"/>
        <w:jc w:val="left"/>
        <w:rPr>
          <w:rFonts w:hint="eastAsia" w:ascii="宋体" w:hAnsi="宋体"/>
          <w:bCs/>
          <w:sz w:val="24"/>
          <w:highlight w:val="none"/>
        </w:rPr>
      </w:pPr>
      <w:r>
        <w:rPr>
          <w:rFonts w:hint="eastAsia" w:ascii="宋体" w:hAnsi="宋体"/>
          <w:bCs/>
          <w:sz w:val="24"/>
          <w:highlight w:val="none"/>
        </w:rPr>
        <w:t>获证客户认证范围内部分产品/服务、区域等不再符合认证标准/规范性文件和其他要求；</w:t>
      </w:r>
    </w:p>
    <w:p>
      <w:pPr>
        <w:numPr>
          <w:ilvl w:val="0"/>
          <w:numId w:val="14"/>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获证客户不愿再继续保持认证范围内的部分产品、服务、区域等认证资格；</w:t>
      </w:r>
    </w:p>
    <w:p>
      <w:pPr>
        <w:numPr>
          <w:ilvl w:val="0"/>
          <w:numId w:val="14"/>
        </w:numPr>
        <w:tabs>
          <w:tab w:val="left" w:pos="709"/>
          <w:tab w:val="clear" w:pos="1078"/>
        </w:tabs>
        <w:spacing w:line="360" w:lineRule="auto"/>
        <w:ind w:left="720"/>
        <w:rPr>
          <w:rFonts w:hint="eastAsia" w:ascii="宋体" w:hAnsi="宋体"/>
          <w:bCs/>
          <w:sz w:val="24"/>
          <w:highlight w:val="none"/>
        </w:rPr>
      </w:pPr>
      <w:r>
        <w:rPr>
          <w:rFonts w:hint="eastAsia" w:ascii="宋体" w:hAnsi="宋体"/>
          <w:bCs/>
          <w:sz w:val="24"/>
          <w:highlight w:val="none"/>
        </w:rPr>
        <w:t>获证客户缩小认证范围应不包括为缩小认证风险的情况。</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.5.3 缩小认证范围的程序</w:t>
      </w:r>
    </w:p>
    <w:p>
      <w:pPr>
        <w:numPr>
          <w:ilvl w:val="2"/>
          <w:numId w:val="6"/>
        </w:numPr>
        <w:spacing w:line="360" w:lineRule="auto"/>
        <w:rPr>
          <w:rFonts w:hint="eastAsia"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6"/>
        </w:numPr>
        <w:spacing w:line="360" w:lineRule="auto"/>
        <w:rPr>
          <w:rFonts w:hint="eastAsia" w:ascii="宋体" w:hAnsi="宋体"/>
          <w:sz w:val="24"/>
          <w:highlight w:val="none"/>
        </w:rPr>
      </w:pPr>
      <w:r>
        <w:rPr>
          <w:rFonts w:hint="eastAsia" w:ascii="宋体" w:hAnsi="宋体"/>
          <w:sz w:val="24"/>
          <w:highlight w:val="none"/>
        </w:rPr>
        <w:t>需要时，获证客户应与CQM修订认证合同；</w:t>
      </w:r>
    </w:p>
    <w:p>
      <w:pPr>
        <w:numPr>
          <w:ilvl w:val="2"/>
          <w:numId w:val="6"/>
        </w:numPr>
        <w:spacing w:line="360" w:lineRule="auto"/>
        <w:rPr>
          <w:rFonts w:hint="eastAsia"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pStyle w:val="3"/>
        <w:spacing w:before="0" w:after="0" w:line="360" w:lineRule="auto"/>
        <w:rPr>
          <w:rFonts w:hint="eastAsia" w:ascii="宋体" w:hAnsi="宋体" w:eastAsia="宋体"/>
          <w:sz w:val="24"/>
          <w:highlight w:val="none"/>
        </w:rPr>
      </w:pPr>
      <w:bookmarkStart w:id="93" w:name="_Toc1371"/>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6</w:t>
      </w:r>
      <w:r>
        <w:rPr>
          <w:rFonts w:hint="eastAsia" w:ascii="宋体" w:hAnsi="宋体" w:eastAsia="宋体"/>
          <w:sz w:val="24"/>
          <w:highlight w:val="none"/>
        </w:rPr>
        <w:t xml:space="preserve"> </w:t>
      </w:r>
      <w:r>
        <w:rPr>
          <w:rFonts w:hint="eastAsia" w:ascii="宋体" w:hAnsi="宋体" w:eastAsia="宋体"/>
          <w:sz w:val="24"/>
          <w:highlight w:val="none"/>
          <w:lang w:eastAsia="zh-CN"/>
        </w:rPr>
        <w:t>变更认证信息的条件和</w:t>
      </w:r>
      <w:r>
        <w:rPr>
          <w:rFonts w:hint="eastAsia" w:ascii="宋体" w:hAnsi="宋体" w:eastAsia="宋体"/>
          <w:sz w:val="24"/>
          <w:highlight w:val="none"/>
        </w:rPr>
        <w:t>程序</w:t>
      </w:r>
      <w:bookmarkEnd w:id="93"/>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.6.1</w:t>
      </w:r>
      <w:r>
        <w:rPr>
          <w:rFonts w:hint="eastAsia" w:ascii="宋体" w:hAnsi="宋体"/>
          <w:sz w:val="24"/>
          <w:highlight w:val="none"/>
        </w:rPr>
        <w:t>变更认证信息的条件和分类</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.6.1.1变更认证信息的条件</w:t>
      </w:r>
    </w:p>
    <w:p>
      <w:pPr>
        <w:spacing w:line="360" w:lineRule="auto"/>
        <w:ind w:firstLine="480" w:firstLineChars="200"/>
        <w:rPr>
          <w:rFonts w:hint="eastAsia" w:ascii="宋体" w:hAnsi="宋体"/>
          <w:sz w:val="24"/>
          <w:highlight w:val="none"/>
        </w:rPr>
      </w:pPr>
      <w:r>
        <w:rPr>
          <w:rFonts w:hint="eastAsia" w:ascii="宋体" w:hAnsi="宋体"/>
          <w:sz w:val="24"/>
          <w:highlight w:val="none"/>
        </w:rPr>
        <w:t>在认证证书有效内，获证客户因信息发生变更，导致与认证证书信息不一致时，应予以更新。</w:t>
      </w:r>
    </w:p>
    <w:p>
      <w:pPr>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.6.1.2变更认证信息的分类：</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获证客户名称、住所变更；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认证地址变更；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地名变更；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企业人数变更，证书编号变更；</w:t>
      </w:r>
    </w:p>
    <w:p>
      <w:pPr>
        <w:numPr>
          <w:ilvl w:val="0"/>
          <w:numId w:val="15"/>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证书范围中的产品、服务、活动的变更。</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.6.2变更认证信息的程序</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.6.2.1认证信息的变更需提交的资料</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.6.2.1.1获证客户名称、住所变更应提交的资料</w:t>
      </w:r>
    </w:p>
    <w:p>
      <w:pPr>
        <w:numPr>
          <w:ilvl w:val="0"/>
          <w:numId w:val="16"/>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6"/>
        </w:numPr>
        <w:spacing w:line="360" w:lineRule="auto"/>
        <w:ind w:left="851" w:hanging="425"/>
        <w:rPr>
          <w:rFonts w:hint="eastAsia"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6"/>
        </w:numPr>
        <w:spacing w:line="360" w:lineRule="auto"/>
        <w:ind w:left="851" w:hanging="425"/>
        <w:rPr>
          <w:rFonts w:hint="eastAsia"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6"/>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.6.2.1.2认证地址变更需要提交的资料</w:t>
      </w:r>
    </w:p>
    <w:p>
      <w:pPr>
        <w:numPr>
          <w:ilvl w:val="0"/>
          <w:numId w:val="17"/>
        </w:numPr>
        <w:spacing w:line="360" w:lineRule="auto"/>
        <w:ind w:left="851" w:hanging="425"/>
        <w:rPr>
          <w:rFonts w:hint="eastAsia" w:ascii="宋体" w:hAnsi="宋体"/>
          <w:sz w:val="24"/>
          <w:highlight w:val="none"/>
        </w:rPr>
      </w:pPr>
      <w:r>
        <w:rPr>
          <w:rFonts w:hint="eastAsia" w:ascii="宋体" w:hAnsi="宋体"/>
          <w:sz w:val="24"/>
          <w:highlight w:val="none"/>
        </w:rPr>
        <w:t>获证客户的书面变更申请；</w:t>
      </w:r>
    </w:p>
    <w:p>
      <w:pPr>
        <w:numPr>
          <w:ilvl w:val="0"/>
          <w:numId w:val="17"/>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有行政许可、资质等要求的获证客户，还应提供按新地址变更后的法规要求的有关文件。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.6.2.1.3 地名变更需要提交的资料</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获证客户的书面变更申请；</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当地政府的相关证明；</w:t>
      </w:r>
    </w:p>
    <w:p>
      <w:pPr>
        <w:numPr>
          <w:ilvl w:val="0"/>
          <w:numId w:val="18"/>
        </w:numPr>
        <w:spacing w:line="360" w:lineRule="auto"/>
        <w:ind w:left="851" w:hanging="425"/>
        <w:rPr>
          <w:rFonts w:hint="eastAsia"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.6.2.1.4企业增加人数，证书编号变更需要提交的资料</w:t>
      </w:r>
    </w:p>
    <w:p>
      <w:pPr>
        <w:spacing w:line="360" w:lineRule="auto"/>
        <w:ind w:firstLine="480" w:firstLineChars="200"/>
        <w:rPr>
          <w:rFonts w:hint="eastAsia"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.6.2.1.5 证书范围中的产品、服务、活动的变更需要提交的资料</w:t>
      </w:r>
    </w:p>
    <w:p>
      <w:pPr>
        <w:numPr>
          <w:ilvl w:val="1"/>
          <w:numId w:val="19"/>
        </w:numPr>
        <w:spacing w:line="360" w:lineRule="auto"/>
        <w:ind w:left="709" w:hanging="283"/>
        <w:rPr>
          <w:rFonts w:hint="eastAsia" w:ascii="宋体" w:hAnsi="宋体"/>
          <w:color w:val="000000"/>
          <w:sz w:val="24"/>
          <w:highlight w:val="none"/>
        </w:rPr>
      </w:pPr>
      <w:r>
        <w:rPr>
          <w:rFonts w:hint="eastAsia" w:ascii="宋体" w:hAnsi="宋体"/>
          <w:color w:val="000000"/>
          <w:sz w:val="24"/>
          <w:highlight w:val="none"/>
        </w:rPr>
        <w:t>获证客户</w:t>
      </w:r>
      <w:r>
        <w:rPr>
          <w:rFonts w:ascii="宋体" w:hAnsi="宋体"/>
          <w:color w:val="000000"/>
          <w:sz w:val="24"/>
          <w:highlight w:val="none"/>
        </w:rPr>
        <w:t>的</w:t>
      </w:r>
      <w:r>
        <w:rPr>
          <w:rFonts w:hint="eastAsia" w:ascii="宋体" w:hAnsi="宋体"/>
          <w:color w:val="000000"/>
          <w:sz w:val="24"/>
          <w:highlight w:val="none"/>
        </w:rPr>
        <w:t>书面</w:t>
      </w:r>
      <w:r>
        <w:rPr>
          <w:rFonts w:ascii="宋体" w:hAnsi="宋体"/>
          <w:color w:val="000000"/>
          <w:sz w:val="24"/>
          <w:highlight w:val="none"/>
        </w:rPr>
        <w:t>变更申请</w:t>
      </w:r>
      <w:r>
        <w:rPr>
          <w:rFonts w:hint="eastAsia" w:ascii="宋体" w:hAnsi="宋体"/>
          <w:color w:val="000000"/>
          <w:sz w:val="24"/>
          <w:highlight w:val="none"/>
        </w:rPr>
        <w:t>；</w:t>
      </w:r>
    </w:p>
    <w:p>
      <w:pPr>
        <w:numPr>
          <w:ilvl w:val="0"/>
          <w:numId w:val="19"/>
        </w:numPr>
        <w:tabs>
          <w:tab w:val="left" w:pos="720"/>
        </w:tabs>
        <w:spacing w:line="360" w:lineRule="auto"/>
        <w:rPr>
          <w:rFonts w:hint="eastAsia" w:ascii="宋体" w:hAnsi="宋体" w:cs="宋体"/>
          <w:sz w:val="24"/>
          <w:highlight w:val="none"/>
        </w:rPr>
      </w:pPr>
      <w:r>
        <w:rPr>
          <w:rFonts w:hint="eastAsia" w:ascii="宋体" w:hAnsi="宋体"/>
          <w:color w:val="000000"/>
          <w:sz w:val="24"/>
          <w:highlight w:val="none"/>
        </w:rPr>
        <w:t>对有行政许可、资质等要求的认证范围，还应提供相应文件复印件。</w:t>
      </w:r>
    </w:p>
    <w:p>
      <w:pPr>
        <w:spacing w:line="360" w:lineRule="auto"/>
        <w:rPr>
          <w:rFonts w:hint="eastAsia" w:ascii="宋体" w:hAnsi="宋体"/>
          <w:color w:val="000000"/>
          <w:sz w:val="24"/>
          <w:highlight w:val="none"/>
        </w:rPr>
      </w:pPr>
      <w:r>
        <w:rPr>
          <w:rFonts w:hint="eastAsia" w:ascii="宋体" w:hAnsi="宋体"/>
          <w:color w:val="000000"/>
          <w:sz w:val="24"/>
          <w:highlight w:val="none"/>
          <w:lang w:val="en-US" w:eastAsia="zh-CN"/>
        </w:rPr>
        <w:t>10</w:t>
      </w:r>
      <w:r>
        <w:rPr>
          <w:rFonts w:hint="eastAsia" w:ascii="宋体" w:hAnsi="宋体"/>
          <w:color w:val="000000"/>
          <w:sz w:val="24"/>
          <w:highlight w:val="none"/>
        </w:rPr>
        <w:t>.6.2.2 认证信息变更的办理流程</w:t>
      </w:r>
    </w:p>
    <w:p>
      <w:pPr>
        <w:numPr>
          <w:ilvl w:val="0"/>
          <w:numId w:val="20"/>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获证客户根据</w:t>
      </w:r>
      <w:r>
        <w:rPr>
          <w:rFonts w:hint="eastAsia" w:ascii="宋体" w:hAnsi="宋体" w:cs="宋体"/>
          <w:sz w:val="24"/>
          <w:highlight w:val="none"/>
          <w:lang w:val="en-US" w:eastAsia="zh-CN"/>
        </w:rPr>
        <w:t>10</w:t>
      </w:r>
      <w:r>
        <w:rPr>
          <w:rFonts w:hint="eastAsia" w:ascii="宋体" w:hAnsi="宋体" w:cs="宋体"/>
          <w:sz w:val="24"/>
          <w:highlight w:val="none"/>
        </w:rPr>
        <w:t>.6.1要求向CQM正式提交满足</w:t>
      </w:r>
      <w:r>
        <w:rPr>
          <w:rFonts w:hint="eastAsia" w:ascii="宋体" w:hAnsi="宋体" w:cs="宋体"/>
          <w:sz w:val="24"/>
          <w:highlight w:val="none"/>
          <w:lang w:val="en-US" w:eastAsia="zh-CN"/>
        </w:rPr>
        <w:t>10</w:t>
      </w:r>
      <w:r>
        <w:rPr>
          <w:rFonts w:hint="eastAsia" w:ascii="宋体" w:hAnsi="宋体" w:cs="宋体"/>
          <w:sz w:val="24"/>
          <w:highlight w:val="none"/>
        </w:rPr>
        <w:t>.6.2.1要求的申请和相关文件资料；</w:t>
      </w:r>
    </w:p>
    <w:p>
      <w:pPr>
        <w:numPr>
          <w:ilvl w:val="0"/>
          <w:numId w:val="20"/>
        </w:numPr>
        <w:tabs>
          <w:tab w:val="left" w:pos="720"/>
        </w:tabs>
        <w:spacing w:line="360" w:lineRule="auto"/>
        <w:rPr>
          <w:rFonts w:hint="eastAsia" w:ascii="宋体" w:hAnsi="宋体" w:cs="宋体"/>
          <w:sz w:val="24"/>
          <w:highlight w:val="none"/>
        </w:rPr>
      </w:pPr>
      <w:r>
        <w:rPr>
          <w:rFonts w:hint="eastAsia" w:ascii="宋体" w:hAnsi="宋体" w:cs="宋体"/>
          <w:sz w:val="24"/>
          <w:highlight w:val="none"/>
        </w:rPr>
        <w:t>需要时，获证客户应接受CQM的审核；</w:t>
      </w:r>
    </w:p>
    <w:p>
      <w:pPr>
        <w:numPr>
          <w:ilvl w:val="0"/>
          <w:numId w:val="20"/>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numPr>
          <w:ilvl w:val="0"/>
          <w:numId w:val="20"/>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CQM收回原认证证书，换发认证证书或附件，认证证书的有效期保持不变。</w:t>
      </w:r>
    </w:p>
    <w:p>
      <w:pPr>
        <w:pStyle w:val="3"/>
        <w:spacing w:before="0" w:after="0" w:line="360" w:lineRule="auto"/>
        <w:rPr>
          <w:rFonts w:hint="eastAsia" w:ascii="宋体" w:hAnsi="宋体" w:eastAsia="宋体"/>
          <w:sz w:val="24"/>
          <w:highlight w:val="none"/>
        </w:rPr>
      </w:pPr>
      <w:bookmarkStart w:id="94" w:name="_Toc12920"/>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7</w:t>
      </w:r>
      <w:r>
        <w:rPr>
          <w:rFonts w:hint="eastAsia" w:ascii="宋体" w:hAnsi="宋体" w:eastAsia="宋体"/>
          <w:sz w:val="24"/>
          <w:highlight w:val="none"/>
        </w:rPr>
        <w:t xml:space="preserve"> 暂停认证资格的条件和程序</w:t>
      </w:r>
      <w:bookmarkEnd w:id="94"/>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.7.1 暂停认证资格的条件</w:t>
      </w:r>
    </w:p>
    <w:p>
      <w:pPr>
        <w:spacing w:line="360" w:lineRule="auto"/>
        <w:ind w:firstLine="480" w:firstLineChars="200"/>
        <w:rPr>
          <w:rFonts w:hint="eastAsia"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spacing w:line="360" w:lineRule="auto"/>
        <w:rPr>
          <w:rFonts w:hint="eastAsia" w:ascii="宋体" w:hAnsi="宋体"/>
          <w:bCs/>
          <w:sz w:val="24"/>
          <w:highlight w:val="none"/>
        </w:rPr>
      </w:pPr>
      <w:r>
        <w:rPr>
          <w:rFonts w:hint="eastAsia" w:ascii="宋体" w:hAnsi="宋体"/>
          <w:bCs/>
          <w:sz w:val="24"/>
          <w:highlight w:val="none"/>
        </w:rPr>
        <w:t>--获证客户管理及服务体系持续或严重不满足认证要求，包括对体系运行的有效性要求。</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a)</w:t>
      </w:r>
      <w:r>
        <w:rPr>
          <w:rFonts w:ascii="宋体" w:hAnsi="宋体"/>
          <w:bCs/>
          <w:sz w:val="24"/>
          <w:highlight w:val="none"/>
        </w:rPr>
        <w:t>获证客户的管理体系发生重大变更，不能持续符合认证标准/规范性文件要求；</w:t>
      </w:r>
    </w:p>
    <w:p>
      <w:pPr>
        <w:spacing w:line="360" w:lineRule="auto"/>
        <w:ind w:left="359" w:leftChars="171"/>
        <w:rPr>
          <w:rFonts w:hint="eastAsia" w:ascii="宋体" w:hAnsi="宋体"/>
          <w:bCs/>
          <w:sz w:val="24"/>
          <w:highlight w:val="none"/>
        </w:rPr>
      </w:pPr>
      <w:r>
        <w:rPr>
          <w:rFonts w:hint="eastAsia" w:ascii="宋体" w:hAnsi="宋体"/>
          <w:bCs/>
          <w:sz w:val="24"/>
          <w:highlight w:val="none"/>
        </w:rPr>
        <w:t>b)获证客户</w:t>
      </w:r>
      <w:r>
        <w:rPr>
          <w:rFonts w:ascii="宋体" w:hAnsi="宋体"/>
          <w:bCs/>
          <w:sz w:val="24"/>
          <w:highlight w:val="none"/>
        </w:rPr>
        <w:t>监督审核期间发生严重影响体系运行的情况；</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c)</w:t>
      </w:r>
      <w:r>
        <w:rPr>
          <w:rFonts w:ascii="宋体" w:hAnsi="宋体"/>
          <w:bCs/>
          <w:sz w:val="24"/>
          <w:highlight w:val="none"/>
        </w:rPr>
        <w:t>获证客户在认证范围内的组织单元、产品、服务及其过程和活动不能满足适用的最新法律法规和标准的要求，并未采取措施或措施无效；</w:t>
      </w:r>
    </w:p>
    <w:p>
      <w:pPr>
        <w:spacing w:line="360" w:lineRule="auto"/>
        <w:ind w:firstLine="360" w:firstLineChars="150"/>
        <w:rPr>
          <w:rFonts w:hint="eastAsia" w:ascii="宋体" w:hAnsi="宋体"/>
          <w:bCs/>
          <w:sz w:val="24"/>
          <w:highlight w:val="none"/>
        </w:rPr>
      </w:pPr>
      <w:r>
        <w:rPr>
          <w:rFonts w:hint="eastAsia" w:ascii="宋体" w:hAnsi="宋体"/>
          <w:bCs/>
          <w:sz w:val="24"/>
          <w:highlight w:val="none"/>
        </w:rPr>
        <w:t>d)</w:t>
      </w:r>
      <w:r>
        <w:rPr>
          <w:rFonts w:ascii="宋体" w:hAnsi="宋体"/>
          <w:bCs/>
          <w:sz w:val="24"/>
          <w:highlight w:val="none"/>
        </w:rPr>
        <w:t>获证客户未按照认证要求的变更做出相应调整，或调整不满足变更要求</w:t>
      </w:r>
      <w:r>
        <w:rPr>
          <w:rFonts w:hint="eastAsia" w:ascii="宋体" w:hAnsi="宋体"/>
          <w:bCs/>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获证客户不承担、履行认证合同约定的责任和义务。</w:t>
      </w:r>
    </w:p>
    <w:p>
      <w:pPr>
        <w:pStyle w:val="8"/>
        <w:spacing w:line="360" w:lineRule="auto"/>
        <w:rPr>
          <w:rFonts w:hint="eastAsia" w:ascii="宋体" w:hAnsi="宋体"/>
          <w:bCs/>
          <w:iCs/>
          <w:sz w:val="24"/>
          <w:highlight w:val="none"/>
        </w:rPr>
      </w:pPr>
      <w:r>
        <w:rPr>
          <w:rFonts w:hint="eastAsia" w:ascii="宋体" w:hAnsi="宋体"/>
          <w:bCs/>
          <w:iCs/>
          <w:sz w:val="24"/>
          <w:highlight w:val="none"/>
        </w:rPr>
        <w:t>a)获证客户未能在规定的期限内接受监督或再认证审核；</w:t>
      </w:r>
    </w:p>
    <w:p>
      <w:pPr>
        <w:pStyle w:val="8"/>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获证客户未履行与CQM签署认证合同中规定的责任和义务，并对保持认证资格产生重大影响；</w:t>
      </w:r>
    </w:p>
    <w:p>
      <w:pPr>
        <w:pStyle w:val="8"/>
        <w:spacing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获证客户未按照认证合同规定缴纳认证费用</w:t>
      </w:r>
      <w:r>
        <w:rPr>
          <w:rFonts w:hint="eastAsia" w:ascii="宋体" w:hAnsi="宋体"/>
          <w:bCs/>
          <w:iCs/>
          <w:sz w:val="24"/>
          <w:highlight w:val="none"/>
        </w:rPr>
        <w:t>；</w:t>
      </w:r>
    </w:p>
    <w:p>
      <w:pPr>
        <w:pStyle w:val="8"/>
        <w:spacing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获证客户在获证期间发生误用认证证书和认证标志，并未能及时有效地采取纠正和纠正措施，以将产生的影响降至最少程度</w:t>
      </w:r>
      <w:r>
        <w:rPr>
          <w:rFonts w:hint="eastAsia" w:ascii="宋体" w:hAnsi="宋体"/>
          <w:bCs/>
          <w:iCs/>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获证客户在证书有效期间受到相关执法监管部门处罚。</w:t>
      </w:r>
    </w:p>
    <w:p>
      <w:pPr>
        <w:pStyle w:val="8"/>
        <w:spacing w:line="360" w:lineRule="auto"/>
        <w:rPr>
          <w:rFonts w:hint="eastAsia" w:ascii="宋体" w:hAnsi="宋体"/>
          <w:bCs/>
          <w:iCs/>
          <w:sz w:val="24"/>
          <w:highlight w:val="none"/>
        </w:rPr>
      </w:pPr>
      <w:r>
        <w:rPr>
          <w:rFonts w:hint="eastAsia" w:ascii="宋体" w:hAnsi="宋体"/>
          <w:bCs/>
          <w:iCs/>
          <w:sz w:val="24"/>
          <w:highlight w:val="none"/>
        </w:rPr>
        <w:t>a) 获证客户未按要求对信息进行通报。</w:t>
      </w:r>
    </w:p>
    <w:p>
      <w:pPr>
        <w:pStyle w:val="8"/>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获证客户被地方认证监管部门发现体系运行存在问题。</w:t>
      </w:r>
    </w:p>
    <w:p>
      <w:pPr>
        <w:pStyle w:val="8"/>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获证客户于获证期间在认证范围内发生国家</w:t>
      </w:r>
      <w:r>
        <w:rPr>
          <w:rFonts w:hint="eastAsia" w:ascii="宋体" w:hAnsi="宋体"/>
          <w:bCs/>
          <w:iCs/>
          <w:sz w:val="24"/>
          <w:highlight w:val="none"/>
        </w:rPr>
        <w:t>抽</w:t>
      </w:r>
      <w:r>
        <w:rPr>
          <w:rFonts w:ascii="宋体" w:hAnsi="宋体"/>
          <w:bCs/>
          <w:iCs/>
          <w:sz w:val="24"/>
          <w:highlight w:val="none"/>
        </w:rPr>
        <w:t>检不合格，并未查明原因和采取补救措施</w:t>
      </w:r>
      <w:r>
        <w:rPr>
          <w:rFonts w:hint="eastAsia" w:ascii="宋体" w:hAnsi="宋体"/>
          <w:bCs/>
          <w:iCs/>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获证客户持有的行政许可证明、资质证书、强制性认证证书等过期失效，重新提交的申请已被受理但尚未换证。</w:t>
      </w:r>
    </w:p>
    <w:p>
      <w:pPr>
        <w:pStyle w:val="8"/>
        <w:spacing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获证客户的法律地位、资质不再符合国家的最新要求；</w:t>
      </w:r>
    </w:p>
    <w:p>
      <w:pPr>
        <w:pStyle w:val="8"/>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获证客户的认证范围已不在现行有效的法律地位文件和资质规定的范围内，但仍有可能在短期内符合规定要求</w:t>
      </w:r>
      <w:r>
        <w:rPr>
          <w:rFonts w:hint="eastAsia" w:ascii="宋体" w:hAnsi="宋体"/>
          <w:bCs/>
          <w:iCs/>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获证客户主动请求暂停。</w:t>
      </w:r>
    </w:p>
    <w:p>
      <w:pPr>
        <w:pStyle w:val="8"/>
        <w:spacing w:line="360" w:lineRule="auto"/>
        <w:ind w:left="0" w:leftChars="0"/>
        <w:rPr>
          <w:rFonts w:hint="eastAsia" w:ascii="宋体" w:hAnsi="宋体"/>
          <w:bCs/>
          <w:iCs/>
          <w:sz w:val="24"/>
          <w:highlight w:val="none"/>
        </w:rPr>
      </w:pPr>
      <w:r>
        <w:rPr>
          <w:rFonts w:hint="eastAsia" w:ascii="宋体" w:hAnsi="宋体"/>
          <w:bCs/>
          <w:sz w:val="24"/>
          <w:highlight w:val="none"/>
        </w:rPr>
        <w:t>--</w:t>
      </w:r>
      <w:r>
        <w:rPr>
          <w:rFonts w:hint="eastAsia" w:ascii="宋体" w:hAnsi="宋体"/>
          <w:bCs/>
          <w:iCs/>
          <w:sz w:val="24"/>
          <w:highlight w:val="none"/>
        </w:rPr>
        <w:t>获证客户发生了与</w:t>
      </w:r>
      <w:r>
        <w:rPr>
          <w:rFonts w:hint="eastAsia" w:ascii="宋体" w:hAnsi="宋体"/>
          <w:bCs/>
          <w:iCs/>
          <w:sz w:val="24"/>
          <w:highlight w:val="none"/>
          <w:lang w:val="en-US" w:eastAsia="zh-CN"/>
        </w:rPr>
        <w:t>信息</w:t>
      </w:r>
      <w:r>
        <w:rPr>
          <w:rFonts w:hint="eastAsia" w:ascii="宋体" w:hAnsi="宋体"/>
          <w:bCs/>
          <w:iCs/>
          <w:sz w:val="24"/>
          <w:highlight w:val="none"/>
        </w:rPr>
        <w:t>安全等有关的重大事故，反映出</w:t>
      </w:r>
      <w:r>
        <w:rPr>
          <w:rFonts w:hint="eastAsia" w:ascii="宋体" w:hAnsi="宋体"/>
          <w:bCs/>
          <w:iCs/>
          <w:sz w:val="24"/>
          <w:highlight w:val="none"/>
          <w:lang w:eastAsia="zh-CN"/>
        </w:rPr>
        <w:t>获证客户</w:t>
      </w:r>
      <w:r>
        <w:rPr>
          <w:rFonts w:hint="eastAsia" w:ascii="宋体" w:hAnsi="宋体"/>
          <w:bCs/>
          <w:iCs/>
          <w:sz w:val="24"/>
          <w:highlight w:val="none"/>
        </w:rPr>
        <w:t>的体系建立及运行存在重大缺陷。</w:t>
      </w:r>
    </w:p>
    <w:p>
      <w:pPr>
        <w:pStyle w:val="8"/>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获证客户于获证期间在认证范围内发生重大事故</w:t>
      </w:r>
      <w:r>
        <w:rPr>
          <w:rFonts w:hint="eastAsia" w:ascii="宋体" w:hAnsi="宋体"/>
          <w:bCs/>
          <w:iCs/>
          <w:sz w:val="24"/>
          <w:highlight w:val="none"/>
        </w:rPr>
        <w:t>被媒体曝光、或</w:t>
      </w:r>
      <w:r>
        <w:rPr>
          <w:rFonts w:ascii="宋体" w:hAnsi="宋体"/>
          <w:bCs/>
          <w:iCs/>
          <w:sz w:val="24"/>
          <w:highlight w:val="none"/>
        </w:rPr>
        <w:t>未查明原因和采取补救措施</w:t>
      </w:r>
      <w:r>
        <w:rPr>
          <w:rFonts w:hint="eastAsia" w:ascii="宋体" w:hAnsi="宋体"/>
          <w:bCs/>
          <w:iCs/>
          <w:sz w:val="24"/>
          <w:highlight w:val="none"/>
        </w:rPr>
        <w:t>；</w:t>
      </w:r>
    </w:p>
    <w:p>
      <w:pPr>
        <w:spacing w:line="360" w:lineRule="auto"/>
        <w:rPr>
          <w:rFonts w:hint="eastAsia" w:ascii="宋体" w:hAnsi="宋体"/>
          <w:bCs/>
          <w:iCs/>
          <w:sz w:val="24"/>
          <w:highlight w:val="none"/>
        </w:rPr>
      </w:pPr>
      <w:r>
        <w:rPr>
          <w:rFonts w:hint="eastAsia" w:ascii="宋体" w:hAnsi="宋体"/>
          <w:bCs/>
          <w:sz w:val="24"/>
          <w:highlight w:val="none"/>
        </w:rPr>
        <w:t>--其他原因需要暂停证书。</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.7.2 暂停认证资格的程序</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必要时，CQM与获证客户沟通，核实证据；</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w:t>
      </w:r>
      <w:r>
        <w:rPr>
          <w:rFonts w:ascii="宋体" w:hAnsi="宋体"/>
          <w:bCs/>
          <w:sz w:val="24"/>
          <w:highlight w:val="none"/>
        </w:rPr>
        <w:t>《</w:t>
      </w:r>
      <w:r>
        <w:rPr>
          <w:rFonts w:hint="eastAsia" w:ascii="宋体" w:hAnsi="宋体"/>
          <w:bCs/>
          <w:sz w:val="24"/>
          <w:highlight w:val="none"/>
        </w:rPr>
        <w:t>认证处置决定通知书</w:t>
      </w:r>
      <w:r>
        <w:rPr>
          <w:rFonts w:ascii="宋体" w:hAnsi="宋体"/>
          <w:bCs/>
          <w:sz w:val="24"/>
          <w:highlight w:val="none"/>
        </w:rPr>
        <w:t>》</w:t>
      </w:r>
      <w:r>
        <w:rPr>
          <w:rFonts w:hint="eastAsia" w:ascii="宋体" w:hAnsi="宋体" w:cs="宋体"/>
          <w:sz w:val="24"/>
          <w:highlight w:val="none"/>
        </w:rPr>
        <w:t>并公告；</w:t>
      </w:r>
    </w:p>
    <w:p>
      <w:pPr>
        <w:numPr>
          <w:ilvl w:val="0"/>
          <w:numId w:val="21"/>
        </w:numPr>
        <w:tabs>
          <w:tab w:val="left" w:pos="709"/>
          <w:tab w:val="clear" w:pos="1050"/>
        </w:tabs>
        <w:spacing w:line="360" w:lineRule="auto"/>
        <w:ind w:left="709" w:hanging="349"/>
        <w:rPr>
          <w:rFonts w:hint="eastAsia" w:ascii="宋体" w:hAnsi="宋体" w:cs="宋体"/>
          <w:sz w:val="24"/>
          <w:highlight w:val="none"/>
        </w:rPr>
      </w:pPr>
      <w:r>
        <w:rPr>
          <w:rFonts w:hint="eastAsia" w:ascii="宋体" w:hAnsi="宋体" w:cs="宋体"/>
          <w:sz w:val="24"/>
          <w:highlight w:val="none"/>
        </w:rPr>
        <w:t>获证客户按照《管理体系认证证书和认证标志、认可标识使用规则</w:t>
      </w:r>
      <w:r>
        <w:rPr>
          <w:rFonts w:ascii="宋体" w:hAnsi="宋体" w:cs="宋体"/>
          <w:sz w:val="24"/>
          <w:highlight w:val="none"/>
        </w:rPr>
        <w:t>》</w:t>
      </w:r>
      <w:r>
        <w:rPr>
          <w:rFonts w:hint="eastAsia" w:ascii="宋体" w:hAnsi="宋体" w:cs="宋体"/>
          <w:sz w:val="24"/>
          <w:highlight w:val="none"/>
        </w:rPr>
        <w:t>停止使用认证证书和认证标志,</w:t>
      </w:r>
      <w:r>
        <w:rPr>
          <w:rFonts w:hint="eastAsia" w:ascii="宋体" w:hAnsi="宋体"/>
          <w:bCs/>
          <w:sz w:val="24"/>
          <w:highlight w:val="none"/>
        </w:rPr>
        <w:t xml:space="preserve"> 在暂停期间，客户的管理体系认证暂时无效</w:t>
      </w:r>
      <w:r>
        <w:rPr>
          <w:rFonts w:hint="eastAsia" w:ascii="宋体" w:hAnsi="宋体" w:cs="宋体"/>
          <w:sz w:val="24"/>
          <w:highlight w:val="none"/>
        </w:rPr>
        <w:t>。</w:t>
      </w:r>
    </w:p>
    <w:p>
      <w:pPr>
        <w:pStyle w:val="3"/>
        <w:spacing w:before="0" w:after="0" w:line="360" w:lineRule="auto"/>
        <w:rPr>
          <w:rFonts w:hint="eastAsia" w:ascii="宋体" w:hAnsi="宋体" w:eastAsia="宋体"/>
          <w:sz w:val="24"/>
          <w:highlight w:val="none"/>
        </w:rPr>
      </w:pPr>
      <w:bookmarkStart w:id="95" w:name="_Toc7095"/>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8</w:t>
      </w:r>
      <w:r>
        <w:rPr>
          <w:rFonts w:hint="eastAsia" w:ascii="宋体" w:hAnsi="宋体" w:eastAsia="宋体"/>
          <w:sz w:val="24"/>
          <w:highlight w:val="none"/>
        </w:rPr>
        <w:t xml:space="preserve"> 恢复认证资格的条件和程序</w:t>
      </w:r>
      <w:bookmarkEnd w:id="95"/>
    </w:p>
    <w:p>
      <w:pPr>
        <w:spacing w:line="360" w:lineRule="auto"/>
        <w:rPr>
          <w:rFonts w:hint="eastAsia"/>
          <w:bCs/>
          <w:highlight w:val="none"/>
        </w:rPr>
      </w:pPr>
      <w:r>
        <w:rPr>
          <w:rFonts w:hint="eastAsia" w:ascii="宋体" w:hAnsi="宋体"/>
          <w:bCs/>
          <w:sz w:val="24"/>
          <w:highlight w:val="none"/>
          <w:lang w:val="en-US" w:eastAsia="zh-CN"/>
        </w:rPr>
        <w:t>10</w:t>
      </w:r>
      <w:r>
        <w:rPr>
          <w:rFonts w:hint="eastAsia" w:ascii="宋体" w:hAnsi="宋体"/>
          <w:bCs/>
          <w:sz w:val="24"/>
          <w:highlight w:val="none"/>
        </w:rPr>
        <w:t>.8.1 恢复认证资格的条件</w:t>
      </w:r>
    </w:p>
    <w:p>
      <w:pPr>
        <w:spacing w:line="360" w:lineRule="auto"/>
        <w:ind w:firstLine="540" w:firstLineChars="225"/>
        <w:rPr>
          <w:rFonts w:hint="eastAsia"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hint="eastAsia"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.8.2 恢复认证资格的程序</w:t>
      </w:r>
    </w:p>
    <w:p>
      <w:pPr>
        <w:numPr>
          <w:ilvl w:val="0"/>
          <w:numId w:val="22"/>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22"/>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22"/>
        </w:numPr>
        <w:tabs>
          <w:tab w:val="left" w:pos="720"/>
          <w:tab w:val="clear" w:pos="1082"/>
        </w:tabs>
        <w:spacing w:line="360" w:lineRule="auto"/>
        <w:ind w:left="720"/>
        <w:rPr>
          <w:rFonts w:hint="eastAsia"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p>
      <w:pPr>
        <w:pStyle w:val="3"/>
        <w:spacing w:before="0" w:after="0" w:line="360" w:lineRule="auto"/>
        <w:rPr>
          <w:rFonts w:hint="eastAsia" w:ascii="宋体" w:hAnsi="宋体" w:eastAsia="宋体"/>
          <w:sz w:val="24"/>
          <w:highlight w:val="none"/>
        </w:rPr>
      </w:pPr>
      <w:bookmarkStart w:id="96" w:name="_Toc18850"/>
      <w:r>
        <w:rPr>
          <w:rFonts w:hint="eastAsia" w:ascii="宋体" w:hAnsi="宋体" w:eastAsia="宋体"/>
          <w:sz w:val="24"/>
          <w:highlight w:val="none"/>
          <w:lang w:val="en-US" w:eastAsia="zh-CN"/>
        </w:rPr>
        <w:t>10</w:t>
      </w:r>
      <w:r>
        <w:rPr>
          <w:rFonts w:hint="eastAsia" w:ascii="宋体" w:hAnsi="宋体" w:eastAsia="宋体"/>
          <w:sz w:val="24"/>
          <w:highlight w:val="none"/>
        </w:rPr>
        <w:t>.</w:t>
      </w:r>
      <w:r>
        <w:rPr>
          <w:rFonts w:hint="eastAsia" w:ascii="宋体" w:hAnsi="宋体" w:eastAsia="宋体"/>
          <w:sz w:val="24"/>
          <w:highlight w:val="none"/>
          <w:lang w:eastAsia="zh-CN"/>
        </w:rPr>
        <w:t>9</w:t>
      </w:r>
      <w:r>
        <w:rPr>
          <w:rFonts w:hint="eastAsia" w:ascii="宋体" w:hAnsi="宋体" w:eastAsia="宋体"/>
          <w:sz w:val="24"/>
          <w:highlight w:val="none"/>
        </w:rPr>
        <w:t xml:space="preserve"> 撤销认证资格的条件和程序</w:t>
      </w:r>
      <w:bookmarkEnd w:id="96"/>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.9.1 撤销认证资格的条件</w:t>
      </w:r>
    </w:p>
    <w:p>
      <w:pPr>
        <w:spacing w:line="360" w:lineRule="auto"/>
        <w:ind w:firstLine="480"/>
        <w:rPr>
          <w:rFonts w:hint="eastAsia"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获证客户审核未通过。</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获证客户被注销或撤销法律地位证明文件。</w:t>
      </w:r>
    </w:p>
    <w:p>
      <w:pPr>
        <w:spacing w:line="360" w:lineRule="auto"/>
        <w:ind w:firstLine="240" w:firstLineChars="10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获证客户的法律地位、资质不再符合国家的最新要求；</w:t>
      </w:r>
    </w:p>
    <w:p>
      <w:pPr>
        <w:pStyle w:val="8"/>
        <w:spacing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获证客户拒绝配合认证监管部门实施的监督检查，或者对有关事项的询问和调查提供了虚假材料或信息。</w:t>
      </w:r>
    </w:p>
    <w:p>
      <w:pPr>
        <w:pStyle w:val="8"/>
        <w:spacing w:line="360" w:lineRule="auto"/>
        <w:ind w:left="0" w:leftChars="0" w:firstLine="120" w:firstLineChars="50"/>
        <w:rPr>
          <w:rFonts w:hint="eastAsia" w:ascii="宋体" w:hAnsi="宋体"/>
          <w:bCs/>
          <w:iCs/>
          <w:sz w:val="24"/>
          <w:highlight w:val="none"/>
          <w:lang w:eastAsia="zh-CN"/>
        </w:rPr>
      </w:pPr>
      <w:r>
        <w:rPr>
          <w:rFonts w:hint="eastAsia" w:ascii="宋体" w:hAnsi="宋体"/>
          <w:bCs/>
          <w:iCs/>
          <w:sz w:val="24"/>
          <w:highlight w:val="none"/>
          <w:lang w:eastAsia="zh-CN"/>
        </w:rPr>
        <w:t>a）</w:t>
      </w:r>
      <w:r>
        <w:rPr>
          <w:rFonts w:hint="eastAsia" w:ascii="宋体" w:hAnsi="宋体"/>
          <w:color w:val="000000"/>
          <w:sz w:val="24"/>
          <w:highlight w:val="none"/>
          <w:lang w:val="en-US" w:eastAsia="zh-CN"/>
        </w:rPr>
        <w:t>被国家行政主管部门列入信用严重失信企业名单。</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获证客户出现重大的</w:t>
      </w:r>
      <w:r>
        <w:rPr>
          <w:rFonts w:hint="eastAsia" w:ascii="宋体" w:hAnsi="宋体"/>
          <w:bCs/>
          <w:iCs/>
          <w:sz w:val="24"/>
          <w:highlight w:val="none"/>
          <w:lang w:val="en-US" w:eastAsia="zh-CN"/>
        </w:rPr>
        <w:t>信息安全</w:t>
      </w:r>
      <w:r>
        <w:rPr>
          <w:rFonts w:hint="eastAsia" w:ascii="宋体" w:hAnsi="宋体"/>
          <w:bCs/>
          <w:iCs/>
          <w:sz w:val="24"/>
          <w:highlight w:val="none"/>
        </w:rPr>
        <w:t>事故等，经执法监管部门确认是获证客户违规造成。</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a</w:t>
      </w:r>
      <w:r>
        <w:rPr>
          <w:rFonts w:ascii="宋体" w:hAnsi="宋体"/>
          <w:color w:val="000000"/>
          <w:sz w:val="24"/>
          <w:highlight w:val="none"/>
        </w:rPr>
        <w:t>) 获证客户于获证期间在认证范围内发生国家</w:t>
      </w:r>
      <w:r>
        <w:rPr>
          <w:rFonts w:hint="eastAsia" w:ascii="宋体" w:hAnsi="宋体"/>
          <w:color w:val="000000"/>
          <w:sz w:val="24"/>
          <w:highlight w:val="none"/>
        </w:rPr>
        <w:t>抽</w:t>
      </w:r>
      <w:r>
        <w:rPr>
          <w:rFonts w:ascii="宋体" w:hAnsi="宋体"/>
          <w:color w:val="000000"/>
          <w:sz w:val="24"/>
          <w:highlight w:val="none"/>
        </w:rPr>
        <w:t>检不合格，并造成严重影响</w:t>
      </w:r>
      <w:r>
        <w:rPr>
          <w:rFonts w:hint="eastAsia" w:ascii="宋体" w:hAnsi="宋体"/>
          <w:color w:val="000000"/>
          <w:sz w:val="24"/>
          <w:highlight w:val="none"/>
        </w:rPr>
        <w:t>。</w:t>
      </w:r>
    </w:p>
    <w:p>
      <w:pPr>
        <w:spacing w:line="360" w:lineRule="auto"/>
        <w:ind w:firstLine="360" w:firstLineChars="150"/>
        <w:rPr>
          <w:rFonts w:hint="eastAsia" w:ascii="宋体" w:hAnsi="宋体"/>
          <w:color w:val="000000"/>
          <w:sz w:val="24"/>
          <w:highlight w:val="none"/>
        </w:rPr>
      </w:pPr>
      <w:r>
        <w:rPr>
          <w:rFonts w:hint="eastAsia" w:ascii="宋体" w:hAnsi="宋体"/>
          <w:color w:val="000000"/>
          <w:sz w:val="24"/>
          <w:highlight w:val="none"/>
        </w:rPr>
        <w:t>b）拒绝接受国家行政主管部门监督抽查的。</w:t>
      </w:r>
    </w:p>
    <w:p>
      <w:pPr>
        <w:pStyle w:val="8"/>
        <w:spacing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获证客户在证书有效期间有其他严重违反法律法规行为，受到相关执法监管部门处罚。</w:t>
      </w:r>
    </w:p>
    <w:p>
      <w:pPr>
        <w:pStyle w:val="8"/>
        <w:spacing w:line="360" w:lineRule="auto"/>
        <w:ind w:left="0" w:leftChars="0"/>
        <w:rPr>
          <w:rFonts w:hint="eastAsia" w:ascii="宋体" w:hAnsi="宋体"/>
          <w:bCs/>
          <w:iCs/>
          <w:sz w:val="24"/>
          <w:highlight w:val="none"/>
          <w:lang w:eastAsia="zh-CN"/>
        </w:rPr>
      </w:pPr>
      <w:r>
        <w:rPr>
          <w:rFonts w:hint="eastAsia" w:ascii="宋体" w:hAnsi="宋体"/>
          <w:bCs/>
          <w:iCs/>
          <w:sz w:val="24"/>
          <w:highlight w:val="none"/>
          <w:lang w:eastAsia="zh-CN"/>
        </w:rPr>
        <w:t>--</w:t>
      </w:r>
      <w:r>
        <w:rPr>
          <w:rFonts w:hint="eastAsia" w:ascii="宋体" w:hAnsi="宋体"/>
          <w:bCs/>
          <w:iCs/>
          <w:sz w:val="24"/>
          <w:highlight w:val="none"/>
        </w:rPr>
        <w:t>获证客户暂停认证证书的期限已满但导致暂停的问题未得到解决或纠正（包括持有的行政许可证明、资质证书、强制性认证证书等已经过期失效但申请未获批准）。</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获证客户没有运行管理体系或者已不具备运行条件。</w:t>
      </w:r>
    </w:p>
    <w:p>
      <w:pPr>
        <w:pStyle w:val="8"/>
        <w:spacing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)获证客户在认证范围内的管理体系发生重大变更，未向CQM通报，并在短期内无法满足认证要求；</w:t>
      </w:r>
    </w:p>
    <w:p>
      <w:pPr>
        <w:pStyle w:val="8"/>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获证客户体制变更后原管理体系已不再适宜；</w:t>
      </w:r>
    </w:p>
    <w:p>
      <w:pPr>
        <w:pStyle w:val="8"/>
        <w:spacing w:line="360" w:lineRule="auto"/>
        <w:rPr>
          <w:rFonts w:hint="eastAsia" w:ascii="宋体" w:hAnsi="宋体"/>
          <w:bCs/>
          <w:iCs/>
          <w:sz w:val="24"/>
          <w:highlight w:val="none"/>
        </w:rPr>
      </w:pPr>
      <w:r>
        <w:rPr>
          <w:rFonts w:hint="eastAsia" w:ascii="宋体" w:hAnsi="宋体"/>
          <w:bCs/>
          <w:iCs/>
          <w:sz w:val="24"/>
          <w:highlight w:val="none"/>
        </w:rPr>
        <w:t>c) 获证客户不再生产体系覆盖内产品；</w:t>
      </w:r>
    </w:p>
    <w:p>
      <w:pPr>
        <w:pStyle w:val="8"/>
        <w:spacing w:line="360" w:lineRule="auto"/>
        <w:rPr>
          <w:rFonts w:hint="eastAsia" w:ascii="宋体" w:hAnsi="宋体"/>
          <w:bCs/>
          <w:iCs/>
          <w:sz w:val="24"/>
          <w:highlight w:val="none"/>
        </w:rPr>
      </w:pPr>
      <w:r>
        <w:rPr>
          <w:rFonts w:hint="eastAsia" w:ascii="宋体" w:hAnsi="宋体"/>
          <w:bCs/>
          <w:iCs/>
          <w:sz w:val="24"/>
          <w:highlight w:val="none"/>
        </w:rPr>
        <w:t xml:space="preserve">d) </w:t>
      </w:r>
      <w:r>
        <w:rPr>
          <w:rFonts w:ascii="宋体" w:hAnsi="宋体"/>
          <w:bCs/>
          <w:iCs/>
          <w:sz w:val="24"/>
          <w:highlight w:val="none"/>
        </w:rPr>
        <w:t>获证客户在认证范围内的组织单元、产品、服务及其过程和活动严重不能满足适用的最新法律法规和标准的要求，并在短期内无法采取措施或采取措施无效的；</w:t>
      </w:r>
    </w:p>
    <w:p>
      <w:pPr>
        <w:pStyle w:val="8"/>
        <w:spacing w:line="360" w:lineRule="auto"/>
        <w:rPr>
          <w:rFonts w:hint="eastAsia" w:ascii="宋体" w:hAnsi="宋体"/>
          <w:bCs/>
          <w:iCs/>
          <w:sz w:val="24"/>
          <w:highlight w:val="none"/>
          <w:lang w:eastAsia="zh-CN"/>
        </w:rPr>
      </w:pPr>
      <w:r>
        <w:rPr>
          <w:rFonts w:hint="eastAsia" w:ascii="宋体" w:hAnsi="宋体"/>
          <w:bCs/>
          <w:iCs/>
          <w:sz w:val="24"/>
          <w:highlight w:val="none"/>
        </w:rPr>
        <w:t>e</w:t>
      </w:r>
      <w:r>
        <w:rPr>
          <w:rFonts w:ascii="宋体" w:hAnsi="宋体"/>
          <w:bCs/>
          <w:iCs/>
          <w:sz w:val="24"/>
          <w:highlight w:val="none"/>
        </w:rPr>
        <w:t>)获证客户</w:t>
      </w:r>
      <w:r>
        <w:rPr>
          <w:rFonts w:hint="eastAsia" w:ascii="宋体" w:hAnsi="宋体"/>
          <w:bCs/>
          <w:iCs/>
          <w:sz w:val="24"/>
          <w:highlight w:val="none"/>
        </w:rPr>
        <w:t>停业或关闭</w:t>
      </w:r>
      <w:r>
        <w:rPr>
          <w:rFonts w:ascii="宋体" w:hAnsi="宋体"/>
          <w:bCs/>
          <w:iCs/>
          <w:sz w:val="24"/>
          <w:highlight w:val="none"/>
        </w:rPr>
        <w:t>的</w:t>
      </w:r>
      <w:r>
        <w:rPr>
          <w:rFonts w:hint="eastAsia" w:ascii="宋体" w:hAnsi="宋体"/>
          <w:bCs/>
          <w:iCs/>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获证客户不按相关规定正确引用和宣传获得的认证信息，造成严重影响或后果，或者认证机构已要求其纠正但超过</w:t>
      </w:r>
      <w:r>
        <w:rPr>
          <w:rFonts w:hint="eastAsia" w:ascii="宋体" w:hAnsi="宋体"/>
          <w:bCs/>
          <w:iCs/>
          <w:sz w:val="24"/>
          <w:highlight w:val="none"/>
          <w:lang w:eastAsia="zh-CN"/>
        </w:rPr>
        <w:t>2</w:t>
      </w:r>
      <w:r>
        <w:rPr>
          <w:rFonts w:hint="eastAsia" w:ascii="宋体" w:hAnsi="宋体"/>
          <w:bCs/>
          <w:iCs/>
          <w:sz w:val="24"/>
          <w:highlight w:val="none"/>
        </w:rPr>
        <w:t>个月仍未纠正。</w:t>
      </w:r>
    </w:p>
    <w:p>
      <w:pPr>
        <w:pStyle w:val="8"/>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获证客户在获证期间发生大量误用认证证书和认证标志，并未能及时有效地采取纠正和纠正措施，误导消费者，影响面大；</w:t>
      </w:r>
    </w:p>
    <w:p>
      <w:pPr>
        <w:pStyle w:val="8"/>
        <w:spacing w:line="360" w:lineRule="auto"/>
        <w:rPr>
          <w:rFonts w:hint="eastAsia"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获证客户转让认证证书和认证标志；</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获证客户发生了与</w:t>
      </w:r>
      <w:r>
        <w:rPr>
          <w:rFonts w:hint="eastAsia" w:ascii="宋体" w:hAnsi="宋体"/>
          <w:bCs/>
          <w:iCs/>
          <w:sz w:val="24"/>
          <w:highlight w:val="none"/>
          <w:lang w:val="en-US" w:eastAsia="zh-CN"/>
        </w:rPr>
        <w:t>信息</w:t>
      </w:r>
      <w:r>
        <w:rPr>
          <w:rFonts w:hint="eastAsia" w:ascii="宋体" w:hAnsi="宋体"/>
          <w:bCs/>
          <w:iCs/>
          <w:sz w:val="24"/>
          <w:highlight w:val="none"/>
        </w:rPr>
        <w:t>安全等有关的重大事故，反映出</w:t>
      </w:r>
      <w:r>
        <w:rPr>
          <w:rFonts w:hint="eastAsia" w:ascii="宋体" w:hAnsi="宋体"/>
          <w:bCs/>
          <w:iCs/>
          <w:sz w:val="24"/>
          <w:highlight w:val="none"/>
          <w:lang w:eastAsia="zh-CN"/>
        </w:rPr>
        <w:t>获证客户</w:t>
      </w:r>
      <w:r>
        <w:rPr>
          <w:rFonts w:hint="eastAsia" w:ascii="宋体" w:hAnsi="宋体"/>
          <w:bCs/>
          <w:iCs/>
          <w:sz w:val="24"/>
          <w:highlight w:val="none"/>
        </w:rPr>
        <w:t>的体系建立及运行存在重大缺陷。</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获证客户因换发新证而撤销旧证书。</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获证客户不承担、履行认证合同约定的责任和义务。</w:t>
      </w:r>
    </w:p>
    <w:p>
      <w:pPr>
        <w:pStyle w:val="8"/>
        <w:spacing w:line="360" w:lineRule="auto"/>
        <w:rPr>
          <w:rFonts w:hint="eastAsia"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获证客户单方面宣布不履行与CQM签署认证合同中规定的责任和义务的；</w:t>
      </w:r>
    </w:p>
    <w:p>
      <w:pPr>
        <w:pStyle w:val="8"/>
        <w:spacing w:line="360" w:lineRule="auto"/>
        <w:rPr>
          <w:rFonts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获证客户长期拖缴认证费用，并催缴无效的；</w:t>
      </w:r>
    </w:p>
    <w:p>
      <w:pPr>
        <w:pStyle w:val="8"/>
        <w:spacing w:line="360" w:lineRule="auto"/>
        <w:rPr>
          <w:rFonts w:hint="eastAsia" w:ascii="宋体" w:hAnsi="宋体"/>
          <w:bCs/>
          <w:iCs/>
          <w:sz w:val="24"/>
          <w:highlight w:val="none"/>
        </w:rPr>
      </w:pPr>
      <w:r>
        <w:rPr>
          <w:rFonts w:hint="eastAsia" w:ascii="宋体" w:hAnsi="宋体"/>
          <w:bCs/>
          <w:iCs/>
          <w:sz w:val="24"/>
          <w:highlight w:val="none"/>
        </w:rPr>
        <w:t>c</w:t>
      </w:r>
      <w:r>
        <w:rPr>
          <w:rFonts w:ascii="宋体" w:hAnsi="宋体"/>
          <w:bCs/>
          <w:iCs/>
          <w:sz w:val="24"/>
          <w:highlight w:val="none"/>
        </w:rPr>
        <w:t>) 经核实获证客户提供虚假信息，且影响了审核、认证决定的有效性的；</w:t>
      </w:r>
    </w:p>
    <w:p>
      <w:pPr>
        <w:pStyle w:val="8"/>
        <w:spacing w:line="360" w:lineRule="auto"/>
        <w:rPr>
          <w:rFonts w:hint="eastAsia" w:ascii="宋体" w:hAnsi="宋体"/>
          <w:bCs/>
          <w:iCs/>
          <w:sz w:val="24"/>
          <w:highlight w:val="none"/>
        </w:rPr>
      </w:pPr>
      <w:r>
        <w:rPr>
          <w:rFonts w:hint="eastAsia" w:ascii="宋体" w:hAnsi="宋体"/>
          <w:bCs/>
          <w:iCs/>
          <w:sz w:val="24"/>
          <w:highlight w:val="none"/>
        </w:rPr>
        <w:t>d</w:t>
      </w:r>
      <w:r>
        <w:rPr>
          <w:rFonts w:ascii="宋体" w:hAnsi="宋体"/>
          <w:bCs/>
          <w:iCs/>
          <w:sz w:val="24"/>
          <w:highlight w:val="none"/>
        </w:rPr>
        <w:t>) 获证客户</w:t>
      </w:r>
      <w:r>
        <w:rPr>
          <w:rFonts w:hint="eastAsia" w:ascii="宋体" w:hAnsi="宋体"/>
          <w:bCs/>
          <w:iCs/>
          <w:sz w:val="24"/>
          <w:highlight w:val="none"/>
        </w:rPr>
        <w:t>更换认证机构的（未书面告知CQM的）；</w:t>
      </w:r>
    </w:p>
    <w:p>
      <w:pPr>
        <w:pStyle w:val="8"/>
        <w:spacing w:line="360" w:lineRule="auto"/>
        <w:rPr>
          <w:rFonts w:hint="eastAsia" w:ascii="宋体" w:hAnsi="宋体"/>
          <w:bCs/>
          <w:iCs/>
          <w:sz w:val="24"/>
          <w:highlight w:val="none"/>
        </w:rPr>
      </w:pPr>
      <w:r>
        <w:rPr>
          <w:rFonts w:hint="eastAsia" w:ascii="宋体" w:hAnsi="宋体"/>
          <w:bCs/>
          <w:iCs/>
          <w:sz w:val="24"/>
          <w:highlight w:val="none"/>
        </w:rPr>
        <w:t>e</w:t>
      </w:r>
      <w:r>
        <w:rPr>
          <w:rFonts w:ascii="宋体" w:hAnsi="宋体"/>
          <w:bCs/>
          <w:iCs/>
          <w:sz w:val="24"/>
          <w:highlight w:val="none"/>
        </w:rPr>
        <w:t>) 获证客户对顾客或相关方的重大投诉不做处理的</w:t>
      </w:r>
      <w:r>
        <w:rPr>
          <w:rFonts w:hint="eastAsia" w:ascii="宋体" w:hAnsi="宋体"/>
          <w:bCs/>
          <w:iCs/>
          <w:sz w:val="24"/>
          <w:highlight w:val="none"/>
        </w:rPr>
        <w:t>。</w:t>
      </w:r>
    </w:p>
    <w:p>
      <w:pPr>
        <w:pStyle w:val="8"/>
        <w:spacing w:line="360" w:lineRule="auto"/>
        <w:ind w:left="0" w:leftChars="0"/>
        <w:rPr>
          <w:rFonts w:hint="eastAsia" w:ascii="宋体" w:hAnsi="宋体"/>
          <w:bCs/>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获证客户主动放弃认证。</w:t>
      </w:r>
    </w:p>
    <w:p>
      <w:pPr>
        <w:pStyle w:val="8"/>
        <w:spacing w:line="360" w:lineRule="auto"/>
        <w:ind w:left="0" w:leftChars="0"/>
        <w:rPr>
          <w:rFonts w:hint="eastAsia" w:ascii="宋体" w:hAnsi="宋体"/>
          <w:iCs/>
          <w:sz w:val="24"/>
          <w:highlight w:val="none"/>
        </w:rPr>
      </w:pPr>
      <w:r>
        <w:rPr>
          <w:rFonts w:hint="eastAsia" w:ascii="宋体" w:hAnsi="宋体"/>
          <w:bCs/>
          <w:iCs/>
          <w:sz w:val="24"/>
          <w:highlight w:val="none"/>
          <w:lang w:eastAsia="zh-CN"/>
        </w:rPr>
        <w:t>--</w:t>
      </w:r>
      <w:r>
        <w:rPr>
          <w:rFonts w:hint="eastAsia" w:ascii="宋体" w:hAnsi="宋体"/>
          <w:bCs/>
          <w:iCs/>
          <w:sz w:val="24"/>
          <w:highlight w:val="none"/>
        </w:rPr>
        <w:t>其他原因需要撤销证书。</w:t>
      </w:r>
    </w:p>
    <w:p>
      <w:pPr>
        <w:spacing w:line="360" w:lineRule="auto"/>
        <w:rPr>
          <w:rFonts w:hint="eastAsia" w:ascii="宋体" w:hAnsi="宋体"/>
          <w:bCs/>
          <w:sz w:val="24"/>
          <w:highlight w:val="none"/>
        </w:rPr>
      </w:pPr>
      <w:r>
        <w:rPr>
          <w:rFonts w:hint="eastAsia" w:ascii="宋体" w:hAnsi="宋体"/>
          <w:bCs/>
          <w:sz w:val="24"/>
          <w:highlight w:val="none"/>
          <w:lang w:val="en-US" w:eastAsia="zh-CN"/>
        </w:rPr>
        <w:t>10</w:t>
      </w:r>
      <w:r>
        <w:rPr>
          <w:rFonts w:hint="eastAsia" w:ascii="宋体" w:hAnsi="宋体"/>
          <w:bCs/>
          <w:sz w:val="24"/>
          <w:highlight w:val="none"/>
        </w:rPr>
        <w:t>.9.2 撤销认证资格的程序</w:t>
      </w:r>
    </w:p>
    <w:p>
      <w:pPr>
        <w:spacing w:line="360" w:lineRule="auto"/>
        <w:ind w:firstLine="480" w:firstLineChars="200"/>
        <w:jc w:val="left"/>
        <w:rPr>
          <w:rFonts w:hint="eastAsia" w:ascii="宋体" w:hAnsi="宋体"/>
          <w:sz w:val="24"/>
          <w:highlight w:val="none"/>
        </w:rPr>
      </w:pPr>
      <w:r>
        <w:rPr>
          <w:rFonts w:hint="eastAsia" w:ascii="宋体" w:hAnsi="宋体"/>
          <w:sz w:val="24"/>
          <w:highlight w:val="none"/>
        </w:rPr>
        <w:t>经</w:t>
      </w:r>
      <w:r>
        <w:rPr>
          <w:rFonts w:hint="eastAsia" w:ascii="宋体" w:hAnsi="宋体"/>
          <w:bCs/>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并公告，收回认证证书，认证客户不得再使用认证标志。</w:t>
      </w:r>
    </w:p>
    <w:p>
      <w:pPr>
        <w:pStyle w:val="2"/>
        <w:spacing w:line="600" w:lineRule="auto"/>
        <w:rPr>
          <w:rFonts w:hint="eastAsia" w:ascii="宋体" w:hAnsi="宋体"/>
          <w:highlight w:val="none"/>
        </w:rPr>
      </w:pPr>
      <w:bookmarkStart w:id="97" w:name="_Toc19746"/>
      <w:bookmarkStart w:id="98" w:name="_Toc28204"/>
      <w:bookmarkStart w:id="99" w:name="_Toc10134"/>
      <w:bookmarkStart w:id="100" w:name="_Toc8695"/>
      <w:bookmarkStart w:id="101" w:name="_Toc19860"/>
      <w:r>
        <w:rPr>
          <w:rFonts w:hint="eastAsia" w:ascii="宋体" w:hAnsi="宋体"/>
          <w:highlight w:val="none"/>
          <w:lang w:val="en-US" w:eastAsia="zh-CN"/>
        </w:rPr>
        <w:t>11</w:t>
      </w:r>
      <w:r>
        <w:rPr>
          <w:rFonts w:hint="eastAsia" w:ascii="宋体" w:hAnsi="宋体"/>
          <w:highlight w:val="none"/>
        </w:rPr>
        <w:t xml:space="preserve"> 认证证书和认证标志</w:t>
      </w:r>
      <w:bookmarkEnd w:id="97"/>
      <w:bookmarkEnd w:id="98"/>
      <w:bookmarkEnd w:id="99"/>
      <w:bookmarkEnd w:id="100"/>
      <w:bookmarkEnd w:id="101"/>
    </w:p>
    <w:p>
      <w:pPr>
        <w:pStyle w:val="3"/>
        <w:spacing w:before="0" w:after="0" w:line="360" w:lineRule="auto"/>
        <w:rPr>
          <w:rFonts w:hint="eastAsia" w:ascii="宋体" w:hAnsi="宋体" w:eastAsia="宋体"/>
          <w:sz w:val="24"/>
          <w:highlight w:val="none"/>
        </w:rPr>
      </w:pPr>
      <w:bookmarkStart w:id="102" w:name="_Toc15233"/>
      <w:r>
        <w:rPr>
          <w:rFonts w:hint="eastAsia" w:ascii="宋体" w:hAnsi="宋体" w:eastAsia="宋体"/>
          <w:sz w:val="24"/>
          <w:highlight w:val="none"/>
          <w:lang w:eastAsia="zh-CN"/>
        </w:rPr>
        <w:t>11</w:t>
      </w:r>
      <w:r>
        <w:rPr>
          <w:rFonts w:hint="eastAsia" w:ascii="宋体" w:hAnsi="宋体" w:eastAsia="宋体"/>
          <w:sz w:val="24"/>
          <w:highlight w:val="none"/>
        </w:rPr>
        <w:t>.1 认证证书和认证标志</w:t>
      </w:r>
      <w:bookmarkEnd w:id="102"/>
    </w:p>
    <w:p>
      <w:pPr>
        <w:spacing w:line="360" w:lineRule="auto"/>
        <w:rPr>
          <w:rFonts w:hint="eastAsia" w:ascii="宋体" w:hAnsi="宋体"/>
          <w:sz w:val="24"/>
          <w:highlight w:val="none"/>
        </w:rPr>
      </w:pPr>
      <w:r>
        <w:rPr>
          <w:rFonts w:hint="eastAsia" w:ascii="宋体" w:hAnsi="宋体"/>
          <w:sz w:val="24"/>
          <w:highlight w:val="none"/>
          <w:lang w:eastAsia="zh-CN"/>
        </w:rPr>
        <w:t>11</w:t>
      </w:r>
      <w:r>
        <w:rPr>
          <w:rFonts w:hint="eastAsia" w:ascii="宋体" w:hAnsi="宋体"/>
          <w:sz w:val="24"/>
          <w:highlight w:val="none"/>
        </w:rPr>
        <w:t>.1.1 认证证书</w:t>
      </w:r>
    </w:p>
    <w:p>
      <w:pPr>
        <w:spacing w:line="360" w:lineRule="auto"/>
        <w:ind w:firstLine="480" w:firstLineChars="200"/>
        <w:rPr>
          <w:rFonts w:hint="eastAsia" w:ascii="宋体" w:hAnsi="宋体"/>
          <w:sz w:val="24"/>
          <w:highlight w:val="none"/>
        </w:rPr>
      </w:pPr>
      <w:r>
        <w:rPr>
          <w:rFonts w:hint="eastAsia" w:ascii="宋体" w:hAnsi="宋体"/>
          <w:sz w:val="24"/>
          <w:highlight w:val="none"/>
        </w:rPr>
        <w:t>初次认证认证证书有效期最长为3年。再认证的认证证书有效期不超过最近一次有效认证证书截止期再加3年</w:t>
      </w:r>
      <w:r>
        <w:rPr>
          <w:rFonts w:hint="eastAsia" w:ascii="宋体" w:hAnsi="宋体"/>
          <w:bCs/>
          <w:color w:val="000000"/>
          <w:kern w:val="0"/>
          <w:sz w:val="24"/>
          <w:highlight w:val="none"/>
        </w:rPr>
        <w:t>，</w:t>
      </w:r>
      <w:r>
        <w:rPr>
          <w:rFonts w:hint="eastAsia" w:ascii="宋体" w:hAnsi="宋体"/>
          <w:bCs/>
          <w:color w:val="000000"/>
          <w:sz w:val="24"/>
          <w:highlight w:val="none"/>
        </w:rPr>
        <w:t>但再认证的认证证书有效期最长不超过42个月</w:t>
      </w:r>
      <w:r>
        <w:rPr>
          <w:rFonts w:hint="eastAsia" w:ascii="宋体" w:hAnsi="宋体"/>
          <w:sz w:val="24"/>
          <w:highlight w:val="none"/>
        </w:rPr>
        <w:t>。</w:t>
      </w:r>
    </w:p>
    <w:p>
      <w:pPr>
        <w:spacing w:line="360" w:lineRule="auto"/>
        <w:ind w:firstLine="480" w:firstLineChars="200"/>
        <w:rPr>
          <w:rFonts w:hint="eastAsia"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否则，因获证客户接受再认证审核时间过晚或因不符合的关闭导致CQM的认证决定无法在原认证证书到期前作出时，再认证证书有效期将不足3年。</w:t>
      </w:r>
    </w:p>
    <w:p>
      <w:pPr>
        <w:spacing w:line="360" w:lineRule="auto"/>
        <w:rPr>
          <w:rFonts w:hint="eastAsia" w:ascii="宋体" w:hAnsi="宋体"/>
          <w:sz w:val="24"/>
          <w:highlight w:val="none"/>
        </w:rPr>
      </w:pPr>
      <w:r>
        <w:rPr>
          <w:rFonts w:hint="eastAsia" w:ascii="宋体" w:hAnsi="宋体"/>
          <w:sz w:val="24"/>
          <w:highlight w:val="none"/>
          <w:lang w:eastAsia="zh-CN"/>
        </w:rPr>
        <w:t>11</w:t>
      </w:r>
      <w:r>
        <w:rPr>
          <w:rFonts w:hint="eastAsia" w:ascii="宋体" w:hAnsi="宋体"/>
          <w:sz w:val="24"/>
          <w:highlight w:val="none"/>
        </w:rPr>
        <w:t>.1.2 认证标志</w:t>
      </w:r>
    </w:p>
    <w:p>
      <w:pPr>
        <w:spacing w:line="360" w:lineRule="auto"/>
        <w:rPr>
          <w:rFonts w:hint="eastAsia" w:ascii="宋体" w:hAnsi="宋体"/>
          <w:sz w:val="24"/>
          <w:highlight w:val="none"/>
        </w:rPr>
      </w:pPr>
      <w:r>
        <w:rPr>
          <w:rFonts w:hint="eastAsia" w:ascii="宋体" w:hAnsi="宋体"/>
          <w:sz w:val="24"/>
          <w:highlight w:val="none"/>
        </w:rPr>
        <w:t xml:space="preserve"> </w:t>
      </w:r>
      <w:r>
        <w:rPr>
          <w:highlight w:val="none"/>
        </w:rPr>
        <w:drawing>
          <wp:anchor distT="0" distB="0" distL="114300" distR="114300" simplePos="0" relativeHeight="251665408" behindDoc="0" locked="0" layoutInCell="1" allowOverlap="1">
            <wp:simplePos x="0" y="0"/>
            <wp:positionH relativeFrom="column">
              <wp:posOffset>435610</wp:posOffset>
            </wp:positionH>
            <wp:positionV relativeFrom="paragraph">
              <wp:posOffset>79375</wp:posOffset>
            </wp:positionV>
            <wp:extent cx="685800" cy="685800"/>
            <wp:effectExtent l="0" t="0" r="0" b="0"/>
            <wp:wrapNone/>
            <wp:docPr id="2" name="图片 4" descr="CQM-R"/>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4" descr="CQM-R"/>
                    <pic:cNvPicPr>
                      <a:picLocks noChangeAspect="true"/>
                    </pic:cNvPicPr>
                  </pic:nvPicPr>
                  <pic:blipFill>
                    <a:blip r:embed="rId13"/>
                    <a:stretch>
                      <a:fillRect/>
                    </a:stretch>
                  </pic:blipFill>
                  <pic:spPr>
                    <a:xfrm>
                      <a:off x="0" y="0"/>
                      <a:ext cx="685800" cy="685800"/>
                    </a:xfrm>
                    <a:prstGeom prst="rect">
                      <a:avLst/>
                    </a:prstGeom>
                    <a:noFill/>
                    <a:ln>
                      <a:noFill/>
                    </a:ln>
                  </pic:spPr>
                </pic:pic>
              </a:graphicData>
            </a:graphic>
          </wp:anchor>
        </w:drawing>
      </w:r>
    </w:p>
    <w:p>
      <w:pPr>
        <w:spacing w:line="360" w:lineRule="auto"/>
        <w:rPr>
          <w:rFonts w:hint="eastAsia" w:ascii="宋体" w:hAnsi="宋体"/>
          <w:sz w:val="24"/>
          <w:highlight w:val="none"/>
        </w:rPr>
      </w:pPr>
    </w:p>
    <w:p>
      <w:pPr>
        <w:spacing w:line="276" w:lineRule="auto"/>
        <w:rPr>
          <w:rFonts w:hint="eastAsia" w:ascii="宋体" w:hAnsi="宋体"/>
          <w:sz w:val="24"/>
          <w:highlight w:val="none"/>
        </w:rPr>
      </w:pPr>
      <w:r>
        <w:rPr>
          <w:rFonts w:hint="eastAsia" w:ascii="宋体" w:hAnsi="宋体"/>
          <w:sz w:val="24"/>
          <w:highlight w:val="none"/>
        </w:rPr>
        <w:t xml:space="preserve">  </w:t>
      </w:r>
    </w:p>
    <w:p>
      <w:pPr>
        <w:pStyle w:val="3"/>
        <w:spacing w:before="0" w:after="0" w:line="360" w:lineRule="auto"/>
        <w:rPr>
          <w:rFonts w:hint="eastAsia" w:ascii="宋体" w:hAnsi="宋体" w:eastAsia="宋体"/>
          <w:sz w:val="24"/>
          <w:highlight w:val="none"/>
        </w:rPr>
      </w:pPr>
      <w:bookmarkStart w:id="103" w:name="_Toc7122"/>
      <w:r>
        <w:rPr>
          <w:rFonts w:hint="eastAsia" w:ascii="宋体" w:hAnsi="宋体" w:eastAsia="宋体"/>
          <w:sz w:val="24"/>
          <w:highlight w:val="none"/>
          <w:lang w:eastAsia="zh-CN"/>
        </w:rPr>
        <w:t>11</w:t>
      </w:r>
      <w:r>
        <w:rPr>
          <w:rFonts w:hint="eastAsia" w:ascii="宋体" w:hAnsi="宋体" w:eastAsia="宋体"/>
          <w:sz w:val="24"/>
          <w:highlight w:val="none"/>
        </w:rPr>
        <w:t>.2 认证证书和认证标志的使用</w:t>
      </w:r>
      <w:bookmarkEnd w:id="103"/>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获证客户应建立认证证书和认证标志的使用方案，获证后按照《管理体系认证证书和认证标志、认可标识使用规则</w:t>
      </w:r>
      <w:r>
        <w:rPr>
          <w:rFonts w:ascii="宋体" w:hAnsi="宋体"/>
          <w:sz w:val="24"/>
          <w:highlight w:val="none"/>
        </w:rPr>
        <w:t>》</w:t>
      </w:r>
      <w:r>
        <w:rPr>
          <w:rFonts w:hint="eastAsia" w:ascii="宋体" w:hAnsi="宋体"/>
          <w:sz w:val="24"/>
          <w:highlight w:val="none"/>
        </w:rPr>
        <w:t>正确使用认证证书和认证标志。</w:t>
      </w:r>
    </w:p>
    <w:p>
      <w:pPr>
        <w:pStyle w:val="3"/>
        <w:spacing w:before="0" w:after="0" w:line="360" w:lineRule="auto"/>
        <w:rPr>
          <w:rFonts w:hint="eastAsia" w:ascii="宋体" w:hAnsi="宋体" w:eastAsia="宋体"/>
          <w:sz w:val="24"/>
          <w:highlight w:val="none"/>
          <w:lang w:eastAsia="zh-CN"/>
        </w:rPr>
      </w:pPr>
      <w:bookmarkStart w:id="104" w:name="_Toc30404"/>
      <w:r>
        <w:rPr>
          <w:rFonts w:hint="eastAsia" w:ascii="宋体" w:hAnsi="宋体" w:eastAsia="宋体"/>
          <w:sz w:val="24"/>
          <w:highlight w:val="none"/>
          <w:lang w:eastAsia="zh-CN"/>
        </w:rPr>
        <w:t>11</w:t>
      </w:r>
      <w:r>
        <w:rPr>
          <w:rFonts w:hint="eastAsia" w:ascii="宋体" w:hAnsi="宋体" w:eastAsia="宋体"/>
          <w:sz w:val="24"/>
          <w:highlight w:val="none"/>
        </w:rPr>
        <w:t>.3 认证证书和认证标志的误用</w:t>
      </w:r>
      <w:bookmarkEnd w:id="104"/>
    </w:p>
    <w:p>
      <w:pPr>
        <w:spacing w:line="360" w:lineRule="auto"/>
        <w:ind w:firstLine="480" w:firstLineChars="200"/>
        <w:rPr>
          <w:rFonts w:hint="eastAsia"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见《管理体系管理体系认证证书和认证标志、认可标识使用规则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获证客户一旦发现误用认证证书或认证标志，应立即采取纠正措施，并报告方圆审核管理部门。</w:t>
      </w:r>
    </w:p>
    <w:p>
      <w:pPr>
        <w:pStyle w:val="2"/>
        <w:spacing w:line="600" w:lineRule="auto"/>
        <w:rPr>
          <w:rFonts w:hint="eastAsia" w:ascii="宋体" w:hAnsi="宋体"/>
          <w:highlight w:val="none"/>
        </w:rPr>
      </w:pPr>
      <w:bookmarkStart w:id="105" w:name="_Toc25355"/>
      <w:bookmarkStart w:id="106" w:name="_Toc25232"/>
      <w:bookmarkStart w:id="107" w:name="_Toc17325"/>
      <w:bookmarkStart w:id="108" w:name="_Toc7464"/>
      <w:bookmarkStart w:id="109" w:name="_Toc30139"/>
      <w:r>
        <w:rPr>
          <w:rFonts w:hint="eastAsia" w:ascii="宋体" w:hAnsi="宋体"/>
          <w:highlight w:val="none"/>
          <w:lang w:val="en-US" w:eastAsia="zh-CN"/>
        </w:rPr>
        <w:t>12</w:t>
      </w:r>
      <w:r>
        <w:rPr>
          <w:rFonts w:hint="eastAsia" w:ascii="宋体" w:hAnsi="宋体"/>
          <w:highlight w:val="none"/>
        </w:rPr>
        <w:t xml:space="preserve"> </w:t>
      </w:r>
      <w:r>
        <w:rPr>
          <w:rFonts w:hint="eastAsia" w:ascii="宋体" w:hAnsi="宋体"/>
          <w:highlight w:val="none"/>
          <w:lang w:eastAsia="zh-CN"/>
        </w:rPr>
        <w:t>获证客户的</w:t>
      </w:r>
      <w:r>
        <w:rPr>
          <w:rFonts w:hint="eastAsia" w:ascii="宋体" w:hAnsi="宋体"/>
          <w:highlight w:val="none"/>
        </w:rPr>
        <w:t>信息通报</w:t>
      </w:r>
      <w:bookmarkEnd w:id="105"/>
      <w:bookmarkEnd w:id="106"/>
      <w:bookmarkEnd w:id="107"/>
      <w:bookmarkEnd w:id="108"/>
      <w:bookmarkEnd w:id="109"/>
    </w:p>
    <w:p>
      <w:pPr>
        <w:spacing w:line="360" w:lineRule="auto"/>
        <w:ind w:firstLine="480" w:firstLineChars="200"/>
        <w:rPr>
          <w:rFonts w:hint="eastAsia" w:ascii="宋体" w:hAnsi="宋体"/>
          <w:sz w:val="24"/>
          <w:highlight w:val="none"/>
        </w:rPr>
      </w:pPr>
      <w:r>
        <w:rPr>
          <w:rFonts w:hint="eastAsia" w:ascii="宋体" w:hAnsi="宋体"/>
          <w:sz w:val="24"/>
          <w:highlight w:val="none"/>
        </w:rPr>
        <w:t>获证客户应建立向方圆通报最新信息的程序，并及时通报其重大投诉、国家监督检查结果、重大事故及获证客户变更的各种信息等。变更信息包括（但不限于）以下：</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组织名称，组织法人，隶属关系；</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联系人，联系方式(包括：电话、传真、手机)；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组织地址(包括：注册地址、认证地址)；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体系覆盖人数；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认证范围变化；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组织机构和职能分配；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证书表述的组织认证场所/生产场；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管理体系文件；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 xml:space="preserve">产品标准；       </w:t>
      </w:r>
    </w:p>
    <w:p>
      <w:pPr>
        <w:numPr>
          <w:ilvl w:val="0"/>
          <w:numId w:val="23"/>
        </w:numPr>
        <w:spacing w:line="360" w:lineRule="auto"/>
        <w:rPr>
          <w:rFonts w:hint="eastAsia" w:ascii="宋体" w:hAnsi="宋体"/>
          <w:color w:val="000000"/>
          <w:sz w:val="24"/>
          <w:highlight w:val="none"/>
        </w:rPr>
      </w:pPr>
      <w:r>
        <w:rPr>
          <w:rFonts w:hint="eastAsia" w:ascii="宋体" w:hAnsi="宋体"/>
          <w:color w:val="000000"/>
          <w:sz w:val="24"/>
          <w:highlight w:val="none"/>
        </w:rPr>
        <w:t>商标。</w:t>
      </w:r>
    </w:p>
    <w:p>
      <w:pPr>
        <w:spacing w:line="360" w:lineRule="auto"/>
        <w:ind w:firstLine="480" w:firstLineChars="200"/>
        <w:rPr>
          <w:rFonts w:hint="eastAsia" w:ascii="宋体" w:hAnsi="宋体"/>
          <w:sz w:val="24"/>
          <w:highlight w:val="none"/>
        </w:rPr>
      </w:pPr>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当上述信息发生变更时，获证客户应填写《获证组织认证信息变更沟通单》，并及时反馈给CQM。变更信息反馈渠道及联系信息详见《获证组织认证信息变更沟通单》中的联系。</w:t>
      </w:r>
    </w:p>
    <w:p>
      <w:pPr>
        <w:pStyle w:val="2"/>
        <w:spacing w:line="600" w:lineRule="auto"/>
        <w:rPr>
          <w:rFonts w:hint="eastAsia" w:ascii="宋体" w:hAnsi="宋体"/>
          <w:highlight w:val="none"/>
          <w:lang w:eastAsia="zh-CN"/>
        </w:rPr>
      </w:pPr>
      <w:bookmarkStart w:id="110" w:name="_Toc12709"/>
      <w:bookmarkStart w:id="111" w:name="_Toc3941"/>
      <w:bookmarkStart w:id="112" w:name="_Toc12794"/>
      <w:bookmarkStart w:id="113" w:name="_Toc23702"/>
      <w:bookmarkStart w:id="114" w:name="_Toc20636"/>
      <w:r>
        <w:rPr>
          <w:rFonts w:hint="eastAsia" w:ascii="宋体" w:hAnsi="宋体"/>
          <w:highlight w:val="none"/>
          <w:lang w:val="en-US" w:eastAsia="zh-CN"/>
        </w:rPr>
        <w:t>13</w:t>
      </w:r>
      <w:r>
        <w:rPr>
          <w:rFonts w:hint="eastAsia" w:ascii="宋体" w:hAnsi="宋体"/>
          <w:highlight w:val="none"/>
        </w:rPr>
        <w:t xml:space="preserve"> 认证要求变更</w:t>
      </w:r>
      <w:r>
        <w:rPr>
          <w:rFonts w:hint="eastAsia" w:ascii="宋体" w:hAnsi="宋体"/>
          <w:highlight w:val="none"/>
          <w:lang w:eastAsia="zh-CN"/>
        </w:rPr>
        <w:t>的条件和程序</w:t>
      </w:r>
      <w:bookmarkEnd w:id="110"/>
      <w:bookmarkEnd w:id="111"/>
      <w:bookmarkEnd w:id="112"/>
      <w:bookmarkEnd w:id="113"/>
      <w:bookmarkEnd w:id="114"/>
    </w:p>
    <w:p>
      <w:pPr>
        <w:pStyle w:val="3"/>
        <w:spacing w:before="0" w:after="0" w:line="360" w:lineRule="auto"/>
        <w:rPr>
          <w:rFonts w:hint="eastAsia" w:ascii="宋体" w:hAnsi="宋体" w:eastAsia="宋体"/>
          <w:sz w:val="24"/>
          <w:highlight w:val="none"/>
        </w:rPr>
      </w:pPr>
      <w:bookmarkStart w:id="115" w:name="_Toc29140"/>
      <w:r>
        <w:rPr>
          <w:rFonts w:hint="eastAsia" w:ascii="宋体" w:hAnsi="宋体" w:eastAsia="宋体"/>
          <w:sz w:val="24"/>
          <w:highlight w:val="none"/>
          <w:lang w:eastAsia="zh-CN"/>
        </w:rPr>
        <w:t>13</w:t>
      </w:r>
      <w:r>
        <w:rPr>
          <w:rFonts w:hint="eastAsia" w:ascii="宋体" w:hAnsi="宋体" w:eastAsia="宋体"/>
          <w:sz w:val="24"/>
          <w:highlight w:val="none"/>
        </w:rPr>
        <w:t>.1 认证要求变更的条件</w:t>
      </w:r>
      <w:bookmarkEnd w:id="115"/>
    </w:p>
    <w:p>
      <w:pPr>
        <w:numPr>
          <w:ilvl w:val="0"/>
          <w:numId w:val="24"/>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24"/>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24"/>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24"/>
        </w:numPr>
        <w:spacing w:line="360" w:lineRule="auto"/>
        <w:rPr>
          <w:rFonts w:hint="eastAsia" w:ascii="宋体" w:hAnsi="宋体"/>
          <w:sz w:val="24"/>
          <w:highlight w:val="none"/>
        </w:rPr>
      </w:pPr>
      <w:r>
        <w:rPr>
          <w:rFonts w:hint="eastAsia" w:ascii="宋体" w:hAnsi="宋体"/>
          <w:sz w:val="24"/>
          <w:highlight w:val="none"/>
        </w:rPr>
        <w:t>获证客户的管理体系已满足新的认证要求,且已正常运行。</w:t>
      </w:r>
    </w:p>
    <w:p>
      <w:pPr>
        <w:pStyle w:val="3"/>
        <w:spacing w:before="0" w:after="0" w:line="360" w:lineRule="auto"/>
        <w:rPr>
          <w:rFonts w:hint="eastAsia" w:ascii="宋体" w:hAnsi="宋体" w:eastAsia="宋体"/>
          <w:sz w:val="24"/>
          <w:highlight w:val="none"/>
          <w:lang w:eastAsia="zh-CN"/>
        </w:rPr>
      </w:pPr>
      <w:bookmarkStart w:id="116" w:name="_Toc8942"/>
      <w:r>
        <w:rPr>
          <w:rFonts w:hint="eastAsia" w:ascii="宋体" w:hAnsi="宋体" w:eastAsia="宋体"/>
          <w:sz w:val="24"/>
          <w:highlight w:val="none"/>
          <w:lang w:eastAsia="zh-CN"/>
        </w:rPr>
        <w:t>13</w:t>
      </w:r>
      <w:r>
        <w:rPr>
          <w:rFonts w:hint="eastAsia" w:ascii="宋体" w:hAnsi="宋体" w:eastAsia="宋体"/>
          <w:sz w:val="24"/>
          <w:highlight w:val="none"/>
        </w:rPr>
        <w:t>.</w:t>
      </w:r>
      <w:r>
        <w:rPr>
          <w:rFonts w:hint="eastAsia" w:ascii="宋体" w:hAnsi="宋体" w:eastAsia="宋体"/>
          <w:sz w:val="24"/>
          <w:highlight w:val="none"/>
          <w:lang w:eastAsia="zh-CN"/>
        </w:rPr>
        <w:t>2</w:t>
      </w:r>
      <w:r>
        <w:rPr>
          <w:rFonts w:hint="eastAsia" w:ascii="宋体" w:hAnsi="宋体" w:eastAsia="宋体"/>
          <w:sz w:val="24"/>
          <w:highlight w:val="none"/>
        </w:rPr>
        <w:t xml:space="preserve"> 认证要求变更的</w:t>
      </w:r>
      <w:r>
        <w:rPr>
          <w:rFonts w:hint="eastAsia" w:ascii="宋体" w:hAnsi="宋体" w:eastAsia="宋体"/>
          <w:sz w:val="24"/>
          <w:highlight w:val="none"/>
          <w:lang w:eastAsia="zh-CN"/>
        </w:rPr>
        <w:t>程序</w:t>
      </w:r>
      <w:bookmarkEnd w:id="116"/>
    </w:p>
    <w:p>
      <w:pPr>
        <w:numPr>
          <w:ilvl w:val="0"/>
          <w:numId w:val="25"/>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w:t>
      </w:r>
      <w:r>
        <w:rPr>
          <w:rFonts w:hint="eastAsia" w:ascii="宋体" w:hAnsi="宋体"/>
          <w:sz w:val="24"/>
          <w:highlight w:val="none"/>
          <w:lang w:val="en-US" w:eastAsia="zh-CN"/>
        </w:rPr>
        <w:t>日</w:t>
      </w:r>
      <w:r>
        <w:rPr>
          <w:rFonts w:hint="eastAsia" w:ascii="宋体" w:hAnsi="宋体"/>
          <w:sz w:val="24"/>
          <w:highlight w:val="none"/>
        </w:rPr>
        <w:t>；</w:t>
      </w:r>
    </w:p>
    <w:p>
      <w:pPr>
        <w:numPr>
          <w:ilvl w:val="0"/>
          <w:numId w:val="25"/>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25"/>
        </w:numPr>
        <w:spacing w:line="360" w:lineRule="auto"/>
        <w:rPr>
          <w:rFonts w:hint="eastAsia"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pStyle w:val="2"/>
        <w:spacing w:line="600" w:lineRule="auto"/>
        <w:rPr>
          <w:rFonts w:hint="eastAsia" w:ascii="宋体" w:hAnsi="宋体"/>
          <w:highlight w:val="none"/>
        </w:rPr>
      </w:pPr>
      <w:bookmarkStart w:id="117" w:name="_Toc12089"/>
      <w:bookmarkStart w:id="118" w:name="_Toc31031"/>
      <w:bookmarkStart w:id="119" w:name="_Toc19165"/>
      <w:bookmarkStart w:id="120" w:name="_Toc5049"/>
      <w:bookmarkStart w:id="121" w:name="_Toc27959"/>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bookmarkEnd w:id="117"/>
      <w:bookmarkEnd w:id="118"/>
      <w:bookmarkEnd w:id="119"/>
      <w:bookmarkEnd w:id="120"/>
      <w:bookmarkEnd w:id="121"/>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hint="eastAsia"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p>
    <w:p>
      <w:pPr>
        <w:pStyle w:val="2"/>
        <w:spacing w:line="600" w:lineRule="auto"/>
        <w:rPr>
          <w:rFonts w:hint="eastAsia" w:ascii="宋体" w:hAnsi="宋体"/>
          <w:highlight w:val="none"/>
        </w:rPr>
      </w:pPr>
      <w:bookmarkStart w:id="122" w:name="_Toc30747"/>
      <w:bookmarkStart w:id="123" w:name="_Toc15689"/>
      <w:bookmarkStart w:id="124" w:name="_Toc5129"/>
      <w:bookmarkStart w:id="125" w:name="_Toc28099"/>
      <w:bookmarkStart w:id="126" w:name="_Toc26172"/>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bookmarkEnd w:id="122"/>
      <w:bookmarkEnd w:id="123"/>
      <w:bookmarkEnd w:id="124"/>
      <w:bookmarkEnd w:id="125"/>
      <w:bookmarkEnd w:id="126"/>
    </w:p>
    <w:p>
      <w:pPr>
        <w:pStyle w:val="13"/>
        <w:spacing w:after="0" w:line="360" w:lineRule="auto"/>
        <w:ind w:left="0" w:leftChars="0" w:firstLine="420" w:firstLineChars="175"/>
        <w:rPr>
          <w:rFonts w:hint="eastAsia"/>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hint="eastAsia"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hint="eastAsia" w:ascii="宋体"/>
          <w:bCs/>
          <w:sz w:val="24"/>
          <w:highlight w:val="none"/>
        </w:rPr>
      </w:pPr>
      <w:r>
        <w:rPr>
          <w:rFonts w:hint="eastAsia" w:ascii="宋体"/>
          <w:bCs/>
          <w:sz w:val="24"/>
          <w:highlight w:val="none"/>
        </w:rPr>
        <w:t>对CQM申诉/投诉和争议的处理有异议时可向中国合格评定国家认可委员会、中国国家认证认可监督管理委员会等有关部门进一步申诉/投诉。</w:t>
      </w:r>
    </w:p>
    <w:p>
      <w:pPr>
        <w:pStyle w:val="2"/>
        <w:spacing w:line="600" w:lineRule="auto"/>
        <w:rPr>
          <w:rFonts w:hint="eastAsia" w:ascii="宋体" w:hAnsi="宋体"/>
          <w:highlight w:val="none"/>
        </w:rPr>
      </w:pPr>
      <w:bookmarkStart w:id="127" w:name="_Toc2379"/>
      <w:bookmarkStart w:id="128" w:name="_Toc20325"/>
      <w:bookmarkStart w:id="129" w:name="_Toc25826"/>
      <w:bookmarkStart w:id="130" w:name="_Toc23946"/>
      <w:bookmarkStart w:id="131" w:name="_Toc25600"/>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bookmarkEnd w:id="127"/>
      <w:bookmarkEnd w:id="128"/>
      <w:bookmarkEnd w:id="129"/>
      <w:bookmarkEnd w:id="130"/>
      <w:bookmarkEnd w:id="131"/>
    </w:p>
    <w:p>
      <w:pPr>
        <w:spacing w:line="360" w:lineRule="auto"/>
        <w:ind w:firstLine="480"/>
        <w:rPr>
          <w:rFonts w:hint="eastAsia" w:ascii="宋体" w:hAnsi="宋体"/>
          <w:sz w:val="24"/>
          <w:highlight w:val="none"/>
        </w:rPr>
      </w:pPr>
      <w:r>
        <w:rPr>
          <w:rFonts w:hint="eastAsia" w:ascii="宋体" w:hAnsi="宋体"/>
          <w:sz w:val="24"/>
          <w:highlight w:val="none"/>
        </w:rPr>
        <w:t>实施本方案的费用，按CQM《管理体系认证收费管理规则》执行。</w:t>
      </w:r>
    </w:p>
    <w:p>
      <w:pPr>
        <w:pStyle w:val="2"/>
        <w:spacing w:line="600" w:lineRule="auto"/>
        <w:rPr>
          <w:rFonts w:hint="eastAsia"/>
          <w:highlight w:val="none"/>
        </w:rPr>
      </w:pPr>
      <w:bookmarkStart w:id="132" w:name="_Toc31324"/>
      <w:bookmarkStart w:id="133" w:name="_Toc6700"/>
      <w:bookmarkStart w:id="134" w:name="_Toc22659"/>
      <w:bookmarkStart w:id="135" w:name="_Toc11918"/>
      <w:bookmarkStart w:id="136" w:name="_Toc3880"/>
      <w:r>
        <w:rPr>
          <w:rFonts w:hint="eastAsia"/>
          <w:highlight w:val="none"/>
        </w:rPr>
        <w:t>1</w:t>
      </w:r>
      <w:r>
        <w:rPr>
          <w:rFonts w:hint="eastAsia"/>
          <w:highlight w:val="none"/>
          <w:lang w:val="en-US" w:eastAsia="zh-CN"/>
        </w:rPr>
        <w:t>7</w:t>
      </w:r>
      <w:r>
        <w:rPr>
          <w:rFonts w:hint="eastAsia"/>
          <w:highlight w:val="none"/>
        </w:rPr>
        <w:t xml:space="preserve"> 公告</w:t>
      </w:r>
      <w:bookmarkEnd w:id="132"/>
      <w:bookmarkEnd w:id="133"/>
      <w:bookmarkEnd w:id="134"/>
      <w:bookmarkEnd w:id="135"/>
      <w:bookmarkEnd w:id="136"/>
    </w:p>
    <w:p>
      <w:pPr>
        <w:spacing w:line="360" w:lineRule="auto"/>
        <w:ind w:firstLine="480"/>
        <w:rPr>
          <w:rFonts w:hint="eastAsia" w:ascii="宋体" w:hAnsi="宋体"/>
          <w:sz w:val="24"/>
          <w:highlight w:val="none"/>
        </w:rPr>
      </w:pPr>
      <w:r>
        <w:rPr>
          <w:rFonts w:hint="eastAsia" w:ascii="宋体" w:hAnsi="宋体"/>
          <w:sz w:val="24"/>
          <w:highlight w:val="none"/>
        </w:rPr>
        <w:t>对获得认证、暂停、恢复或撤销的认证客户，在CQM网站上公布。</w:t>
      </w:r>
    </w:p>
    <w:p>
      <w:pPr>
        <w:pStyle w:val="2"/>
        <w:spacing w:line="600" w:lineRule="auto"/>
        <w:rPr>
          <w:rFonts w:hint="eastAsia"/>
          <w:highlight w:val="none"/>
        </w:rPr>
      </w:pPr>
      <w:bookmarkStart w:id="137" w:name="_Toc3168"/>
      <w:bookmarkStart w:id="138" w:name="_Toc16460"/>
      <w:bookmarkStart w:id="139" w:name="_Toc25035"/>
      <w:bookmarkStart w:id="140" w:name="_Toc17238"/>
      <w:bookmarkStart w:id="141" w:name="_Toc19101"/>
      <w:r>
        <w:rPr>
          <w:rFonts w:hint="eastAsia"/>
          <w:highlight w:val="none"/>
        </w:rPr>
        <w:t>1</w:t>
      </w:r>
      <w:r>
        <w:rPr>
          <w:rFonts w:hint="eastAsia"/>
          <w:highlight w:val="none"/>
          <w:lang w:val="en-US" w:eastAsia="zh-CN"/>
        </w:rPr>
        <w:t>8</w:t>
      </w:r>
      <w:r>
        <w:rPr>
          <w:rFonts w:hint="eastAsia"/>
          <w:highlight w:val="none"/>
        </w:rPr>
        <w:t xml:space="preserve"> 附则</w:t>
      </w:r>
      <w:bookmarkEnd w:id="137"/>
      <w:bookmarkEnd w:id="138"/>
      <w:bookmarkEnd w:id="139"/>
      <w:bookmarkEnd w:id="140"/>
      <w:bookmarkEnd w:id="141"/>
    </w:p>
    <w:p>
      <w:pPr>
        <w:spacing w:line="360" w:lineRule="auto"/>
        <w:ind w:firstLine="480"/>
        <w:rPr>
          <w:rFonts w:hint="eastAsia" w:ascii="宋体" w:hAnsi="宋体"/>
          <w:sz w:val="24"/>
          <w:highlight w:val="none"/>
        </w:rPr>
      </w:pPr>
      <w:r>
        <w:rPr>
          <w:rFonts w:hint="eastAsia" w:ascii="宋体" w:hAnsi="宋体" w:eastAsia="宋体"/>
          <w:b w:val="0"/>
          <w:bCs w:val="0"/>
          <w:sz w:val="24"/>
          <w:szCs w:val="24"/>
          <w:highlight w:val="none"/>
        </w:rPr>
        <w:t>本方案由方圆标志认证集团有限公司负责解释。</w:t>
      </w:r>
      <w:bookmarkEnd w:id="73"/>
      <w:bookmarkEnd w:id="74"/>
      <w:bookmarkEnd w:id="75"/>
    </w:p>
    <w:p>
      <w:pPr>
        <w:spacing w:line="360" w:lineRule="auto"/>
        <w:rPr>
          <w:rFonts w:hint="eastAsia" w:ascii="宋体" w:hAnsi="宋体"/>
          <w:sz w:val="24"/>
          <w:highlight w:val="none"/>
        </w:rPr>
      </w:pPr>
    </w:p>
    <w:p>
      <w:pPr>
        <w:ind w:firstLine="480" w:firstLineChars="200"/>
        <w:rPr>
          <w:rFonts w:hint="eastAsia"/>
          <w:sz w:val="24"/>
          <w:highlight w:val="none"/>
        </w:rPr>
      </w:pPr>
    </w:p>
    <w:p>
      <w:pPr>
        <w:jc w:val="left"/>
        <w:rPr>
          <w:sz w:val="24"/>
          <w:highlight w:val="none"/>
        </w:rPr>
      </w:pPr>
    </w:p>
    <w:p>
      <w:pPr>
        <w:spacing w:line="360" w:lineRule="auto"/>
        <w:rPr>
          <w:rFonts w:hint="eastAsia" w:ascii="黑体" w:hAnsi="宋体" w:eastAsia="黑体"/>
          <w:szCs w:val="21"/>
          <w:highlight w:val="none"/>
        </w:rPr>
      </w:pPr>
    </w:p>
    <w:bookmarkEnd w:id="144"/>
    <w:sectPr>
      <w:footerReference r:id="rId9" w:type="first"/>
      <w:footerReference r:id="rId8" w:type="default"/>
      <w:pgSz w:w="11906" w:h="16838"/>
      <w:pgMar w:top="856" w:right="1797" w:bottom="1440" w:left="1797" w:header="159" w:footer="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altName w:val="方正姚体_GBK"/>
    <w:panose1 w:val="02010601030101010101"/>
    <w:charset w:val="86"/>
    <w:family w:val="auto"/>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6"/>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0"/>
            <w:ind w:left="-108"/>
            <w:jc w:val="both"/>
            <w:rPr>
              <w:sz w:val="13"/>
            </w:rPr>
          </w:pPr>
        </w:p>
        <w:p>
          <w:pPr>
            <w:pStyle w:val="10"/>
            <w:ind w:left="-108"/>
            <w:jc w:val="both"/>
          </w:pPr>
          <w:r>
            <w:rPr>
              <w:rFonts w:hint="eastAsia"/>
            </w:rPr>
            <w:t>通讯地址：</w:t>
          </w:r>
        </w:p>
        <w:p>
          <w:pPr>
            <w:pStyle w:val="10"/>
            <w:ind w:left="-108"/>
            <w:jc w:val="both"/>
          </w:pPr>
          <w:r>
            <w:rPr>
              <w:rFonts w:hint="eastAsia"/>
            </w:rPr>
            <w:t>电话：</w:t>
          </w:r>
        </w:p>
        <w:p>
          <w:pPr>
            <w:pStyle w:val="10"/>
            <w:ind w:left="-108"/>
            <w:jc w:val="both"/>
          </w:pPr>
          <w:r>
            <w:rPr>
              <w:rFonts w:hint="eastAsia"/>
            </w:rPr>
            <w:t>传真：</w:t>
          </w:r>
        </w:p>
        <w:p>
          <w:pPr>
            <w:pStyle w:val="10"/>
            <w:ind w:left="-108"/>
            <w:jc w:val="both"/>
          </w:pPr>
          <w:r>
            <w:rPr>
              <w:rFonts w:hint="eastAsia"/>
            </w:rPr>
            <w:t>网址：</w:t>
          </w:r>
        </w:p>
        <w:p>
          <w:pPr>
            <w:pStyle w:val="10"/>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0"/>
            <w:ind w:left="-108"/>
            <w:jc w:val="both"/>
            <w:rPr>
              <w:sz w:val="13"/>
            </w:rPr>
          </w:pPr>
        </w:p>
        <w:p>
          <w:pPr>
            <w:pStyle w:val="10"/>
            <w:ind w:left="-108"/>
            <w:jc w:val="both"/>
          </w:pPr>
          <w:r>
            <w:rPr>
              <w:rFonts w:hint="eastAsia"/>
            </w:rPr>
            <w:t>北京市海淀区增光路33号</w:t>
          </w:r>
          <w:r>
            <w:t>(</w:t>
          </w:r>
          <w:r>
            <w:rPr>
              <w:rFonts w:hint="eastAsia"/>
            </w:rPr>
            <w:t>100048</w:t>
          </w:r>
          <w:r>
            <w:t>)</w:t>
          </w:r>
        </w:p>
        <w:p>
          <w:pPr>
            <w:pStyle w:val="10"/>
            <w:ind w:left="-108"/>
            <w:jc w:val="both"/>
          </w:pPr>
          <w:r>
            <w:rPr>
              <w:rFonts w:hint="eastAsia"/>
            </w:rPr>
            <w:t>（010）88411888（总机）</w:t>
          </w:r>
        </w:p>
        <w:p>
          <w:pPr>
            <w:pStyle w:val="10"/>
            <w:ind w:left="-108"/>
            <w:jc w:val="both"/>
          </w:pPr>
          <w:r>
            <w:rPr>
              <w:rFonts w:hint="eastAsia"/>
            </w:rPr>
            <w:t>（010）88414325</w:t>
          </w:r>
        </w:p>
        <w:p>
          <w:pPr>
            <w:pStyle w:val="10"/>
            <w:jc w:val="both"/>
          </w:pPr>
          <w:r>
            <w:t>http://</w:t>
          </w:r>
          <w:r>
            <w:rPr>
              <w:rFonts w:hint="eastAsia"/>
            </w:rPr>
            <w:t>www.</w:t>
          </w:r>
          <w:r>
            <w:t>cqm.</w:t>
          </w:r>
          <w:r>
            <w:rPr>
              <w:rFonts w:hint="eastAsia"/>
            </w:rPr>
            <w:t>com.</w:t>
          </w:r>
          <w:r>
            <w:t>cn/</w:t>
          </w:r>
        </w:p>
        <w:p>
          <w:pPr>
            <w:pStyle w:val="10"/>
            <w:jc w:val="both"/>
          </w:pPr>
          <w:r>
            <w:t>cqm@cqm.com.cn</w:t>
          </w:r>
        </w:p>
      </w:tc>
      <w:tc>
        <w:tcPr>
          <w:tcW w:w="1620" w:type="dxa"/>
          <w:tcBorders>
            <w:top w:val="thinThickSmallGap" w:color="002071" w:sz="18" w:space="0"/>
            <w:left w:val="nil"/>
            <w:bottom w:val="nil"/>
            <w:right w:val="nil"/>
          </w:tcBorders>
          <w:vAlign w:val="top"/>
        </w:tcPr>
        <w:p>
          <w:pPr>
            <w:pStyle w:val="10"/>
            <w:jc w:val="both"/>
          </w:pPr>
        </w:p>
        <w:p>
          <w:pPr>
            <w:pStyle w:val="10"/>
            <w:jc w:val="both"/>
          </w:pPr>
          <w:r>
            <w:rPr>
              <w:rFonts w:hint="eastAsia"/>
            </w:rPr>
            <w:t xml:space="preserve">文件编号： </w:t>
          </w:r>
        </w:p>
        <w:p>
          <w:pPr>
            <w:pStyle w:val="10"/>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vAlign w:val="top"/>
        </w:tcPr>
        <w:p>
          <w:pPr>
            <w:pStyle w:val="10"/>
            <w:jc w:val="both"/>
          </w:pPr>
        </w:p>
        <w:p>
          <w:pPr>
            <w:pStyle w:val="10"/>
            <w:jc w:val="both"/>
            <w:rPr>
              <w:rFonts w:hint="eastAsia"/>
              <w:lang w:eastAsia="zh-CN"/>
            </w:rPr>
          </w:pPr>
          <w:r>
            <w:t>CQM/S-</w:t>
          </w:r>
          <w:r>
            <w:rPr>
              <w:rFonts w:hint="eastAsia"/>
              <w:lang w:eastAsia="zh-CN"/>
            </w:rPr>
            <w:t>FN-00-001</w:t>
          </w:r>
        </w:p>
        <w:p>
          <w:pPr>
            <w:pStyle w:val="10"/>
            <w:jc w:val="both"/>
          </w:pPr>
          <w:r>
            <w:rPr>
              <w:rFonts w:hint="eastAsia"/>
            </w:rPr>
            <w:t>20</w:t>
          </w:r>
          <w:r>
            <w:rPr>
              <w:rFonts w:hint="eastAsia"/>
              <w:lang w:eastAsia="zh-CN"/>
            </w:rPr>
            <w:t>16</w:t>
          </w:r>
          <w:r>
            <w:rPr>
              <w:rFonts w:hint="eastAsia"/>
            </w:rPr>
            <w:t>年01月01日</w:t>
          </w:r>
        </w:p>
        <w:p>
          <w:pPr>
            <w:pStyle w:val="10"/>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0"/>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0"/>
            <w:jc w:val="both"/>
          </w:pPr>
          <w:r>
            <w:rPr>
              <w:rFonts w:hint="eastAsia"/>
            </w:rPr>
            <w:t xml:space="preserve">第 </w:t>
          </w:r>
          <w:r>
            <w:rPr>
              <w:rFonts w:hint="eastAsia"/>
              <w:lang w:val="en-US" w:eastAsia="zh-CN"/>
            </w:rPr>
            <w:t>1</w:t>
          </w:r>
          <w:r>
            <w:rPr>
              <w:rFonts w:hint="eastAsia"/>
            </w:rPr>
            <w:t xml:space="preserve"> </w:t>
          </w:r>
          <w:r>
            <w:rPr>
              <w:rStyle w:val="18"/>
              <w:rFonts w:hint="eastAsia"/>
            </w:rPr>
            <w:t xml:space="preserve">页  共 </w:t>
          </w:r>
          <w:r>
            <w:rPr>
              <w:rStyle w:val="18"/>
              <w:rFonts w:hint="eastAsia"/>
              <w:lang w:eastAsia="zh-CN"/>
            </w:rPr>
            <w:t>20</w:t>
          </w:r>
          <w:r>
            <w:rPr>
              <w:rStyle w:val="18"/>
              <w:rFonts w:hint="eastAsia"/>
            </w:rPr>
            <w:t xml:space="preserve"> 页</w:t>
          </w:r>
        </w:p>
      </w:tc>
    </w:tr>
  </w:tbl>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6"/>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0"/>
            <w:ind w:left="-108"/>
            <w:jc w:val="both"/>
            <w:rPr>
              <w:sz w:val="13"/>
            </w:rPr>
          </w:pPr>
        </w:p>
        <w:p>
          <w:pPr>
            <w:pStyle w:val="10"/>
            <w:ind w:left="-108"/>
            <w:jc w:val="both"/>
          </w:pPr>
          <w:r>
            <w:rPr>
              <w:rFonts w:hint="eastAsia"/>
            </w:rPr>
            <w:t>通讯地址：</w:t>
          </w:r>
        </w:p>
        <w:p>
          <w:pPr>
            <w:pStyle w:val="10"/>
            <w:ind w:left="-108"/>
            <w:jc w:val="both"/>
          </w:pPr>
          <w:r>
            <w:rPr>
              <w:rFonts w:hint="eastAsia"/>
            </w:rPr>
            <w:t>电话：</w:t>
          </w:r>
        </w:p>
        <w:p>
          <w:pPr>
            <w:pStyle w:val="10"/>
            <w:ind w:left="-108"/>
            <w:jc w:val="both"/>
          </w:pPr>
          <w:r>
            <w:rPr>
              <w:rFonts w:hint="eastAsia"/>
            </w:rPr>
            <w:t>传真：</w:t>
          </w:r>
        </w:p>
        <w:p>
          <w:pPr>
            <w:pStyle w:val="10"/>
            <w:ind w:left="-108"/>
            <w:jc w:val="both"/>
          </w:pPr>
          <w:r>
            <w:rPr>
              <w:rFonts w:hint="eastAsia"/>
            </w:rPr>
            <w:t>网址：</w:t>
          </w:r>
        </w:p>
        <w:p>
          <w:pPr>
            <w:pStyle w:val="10"/>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0"/>
            <w:ind w:left="-108"/>
            <w:jc w:val="both"/>
            <w:rPr>
              <w:sz w:val="13"/>
            </w:rPr>
          </w:pPr>
        </w:p>
        <w:p>
          <w:pPr>
            <w:pStyle w:val="10"/>
            <w:ind w:left="-108"/>
            <w:jc w:val="both"/>
          </w:pPr>
          <w:r>
            <w:rPr>
              <w:rFonts w:hint="eastAsia"/>
            </w:rPr>
            <w:t>北京市海淀区增光路33号</w:t>
          </w:r>
          <w:r>
            <w:t>(</w:t>
          </w:r>
          <w:r>
            <w:rPr>
              <w:rFonts w:hint="eastAsia"/>
            </w:rPr>
            <w:t>100048</w:t>
          </w:r>
          <w:r>
            <w:t>)</w:t>
          </w:r>
        </w:p>
        <w:p>
          <w:pPr>
            <w:pStyle w:val="10"/>
            <w:ind w:left="-108"/>
            <w:jc w:val="both"/>
          </w:pPr>
          <w:r>
            <w:rPr>
              <w:rFonts w:hint="eastAsia"/>
            </w:rPr>
            <w:t>（010）88411888（总机）</w:t>
          </w:r>
        </w:p>
        <w:p>
          <w:pPr>
            <w:pStyle w:val="10"/>
            <w:ind w:left="-108"/>
            <w:jc w:val="both"/>
          </w:pPr>
          <w:r>
            <w:rPr>
              <w:rFonts w:hint="eastAsia"/>
            </w:rPr>
            <w:t>（010）88414325</w:t>
          </w:r>
        </w:p>
        <w:p>
          <w:pPr>
            <w:pStyle w:val="10"/>
            <w:jc w:val="both"/>
          </w:pPr>
          <w:r>
            <w:t>http://</w:t>
          </w:r>
          <w:r>
            <w:rPr>
              <w:rFonts w:hint="eastAsia"/>
            </w:rPr>
            <w:t>www.</w:t>
          </w:r>
          <w:r>
            <w:t>cqm.</w:t>
          </w:r>
          <w:r>
            <w:rPr>
              <w:rFonts w:hint="eastAsia"/>
            </w:rPr>
            <w:t>com.</w:t>
          </w:r>
          <w:r>
            <w:t>cn/</w:t>
          </w:r>
        </w:p>
        <w:p>
          <w:pPr>
            <w:pStyle w:val="10"/>
            <w:jc w:val="both"/>
          </w:pPr>
          <w:r>
            <w:t>cqm@cqm.com.cn</w:t>
          </w:r>
        </w:p>
      </w:tc>
      <w:tc>
        <w:tcPr>
          <w:tcW w:w="1231" w:type="dxa"/>
          <w:tcBorders>
            <w:top w:val="thinThickSmallGap" w:color="002071" w:sz="18" w:space="0"/>
            <w:left w:val="nil"/>
            <w:bottom w:val="nil"/>
            <w:right w:val="nil"/>
          </w:tcBorders>
          <w:vAlign w:val="top"/>
        </w:tcPr>
        <w:p>
          <w:pPr>
            <w:pStyle w:val="10"/>
            <w:jc w:val="both"/>
          </w:pPr>
        </w:p>
        <w:p>
          <w:pPr>
            <w:pStyle w:val="10"/>
            <w:jc w:val="both"/>
          </w:pPr>
          <w:r>
            <w:rPr>
              <w:rFonts w:hint="eastAsia"/>
            </w:rPr>
            <w:t xml:space="preserve">文件编号： </w:t>
          </w:r>
        </w:p>
        <w:p>
          <w:pPr>
            <w:pStyle w:val="10"/>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vAlign w:val="top"/>
        </w:tcPr>
        <w:p>
          <w:pPr>
            <w:pStyle w:val="10"/>
            <w:jc w:val="both"/>
          </w:pPr>
        </w:p>
        <w:p>
          <w:pPr>
            <w:pStyle w:val="10"/>
            <w:jc w:val="both"/>
            <w:rPr>
              <w:lang w:val="en-US" w:eastAsia="zh-CN"/>
            </w:rPr>
          </w:pPr>
          <w:r>
            <w:rPr>
              <w:lang w:val="en-US" w:eastAsia="zh-CN"/>
            </w:rPr>
            <w:t>CQM/S-</w:t>
          </w:r>
          <w:r>
            <w:rPr>
              <w:rFonts w:hint="eastAsia"/>
              <w:lang w:val="en-US" w:eastAsia="zh-CN"/>
            </w:rPr>
            <w:t>FN</w:t>
          </w:r>
          <w:r>
            <w:rPr>
              <w:lang w:val="en-US" w:eastAsia="zh-CN"/>
            </w:rPr>
            <w:t>-</w:t>
          </w:r>
          <w:r>
            <w:rPr>
              <w:rFonts w:hint="eastAsia"/>
              <w:lang w:val="en-US" w:eastAsia="zh-CN"/>
            </w:rPr>
            <w:t>06-</w:t>
          </w:r>
          <w:r>
            <w:rPr>
              <w:lang w:val="en-US" w:eastAsia="zh-CN"/>
            </w:rPr>
            <w:t>00</w:t>
          </w:r>
          <w:r>
            <w:rPr>
              <w:rFonts w:hint="eastAsia"/>
              <w:lang w:val="en-US" w:eastAsia="zh-CN"/>
            </w:rPr>
            <w:t>4</w:t>
          </w:r>
        </w:p>
        <w:p>
          <w:pPr>
            <w:pStyle w:val="10"/>
            <w:jc w:val="both"/>
            <w:rPr>
              <w:rFonts w:hint="eastAsia"/>
              <w:lang w:val="en-US" w:eastAsia="zh-CN"/>
            </w:rPr>
          </w:pPr>
          <w:r>
            <w:rPr>
              <w:rFonts w:hint="eastAsia"/>
              <w:lang w:val="en-US" w:eastAsia="zh-CN"/>
            </w:rPr>
            <w:t>2015年09月09日</w:t>
          </w:r>
        </w:p>
        <w:p>
          <w:pPr>
            <w:pStyle w:val="10"/>
            <w:jc w:val="both"/>
          </w:pPr>
          <w:r>
            <w:rPr>
              <w:rFonts w:hint="eastAsia"/>
            </w:rPr>
            <w:t>20</w:t>
          </w:r>
          <w:r>
            <w:rPr>
              <w:rFonts w:hint="eastAsia"/>
              <w:lang w:val="en-US" w:eastAsia="zh-CN"/>
            </w:rPr>
            <w:t>25</w:t>
          </w:r>
          <w:r>
            <w:rPr>
              <w:rFonts w:hint="eastAsia"/>
            </w:rPr>
            <w:t>年</w:t>
          </w:r>
          <w:r>
            <w:rPr>
              <w:rFonts w:hint="eastAsia"/>
              <w:lang w:val="en-US" w:eastAsia="zh-CN"/>
            </w:rPr>
            <w:t>06</w:t>
          </w:r>
          <w:r>
            <w:rPr>
              <w:rFonts w:hint="eastAsia"/>
            </w:rPr>
            <w:t>月</w:t>
          </w:r>
          <w:r>
            <w:rPr>
              <w:rFonts w:hint="eastAsia"/>
              <w:lang w:val="en-US" w:eastAsia="zh-CN"/>
            </w:rPr>
            <w:t>10</w:t>
          </w:r>
          <w:r>
            <w:rPr>
              <w:rFonts w:hint="eastAsia"/>
            </w:rPr>
            <w:t>日</w:t>
          </w:r>
        </w:p>
        <w:p>
          <w:pPr>
            <w:pStyle w:val="10"/>
            <w:jc w:val="both"/>
          </w:pP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6"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10"/>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22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wps:txbx>
                          <wps:bodyPr lIns="0" tIns="0" rIns="0" bIns="0" upright="false"/>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nHLvKdQAAAAGAQAADwAAAAAAAAABACAAAAA4AAAAZHJzL2Rv&#10;d25yZXYueG1sUEsBAhQAFAAAAAgAh07iQPpdQQG2AQAASQMAAA4AAAAAAAAAAQAgAAAAOQEAAGRy&#10;cy9lMm9Eb2MueG1sUEsFBgAAAAAGAAYAWQEAAGEFAAAAAA==&#10;">
                    <v:fill on="f" focussize="0,0"/>
                    <v:stroke on="f"/>
                    <v:imagedata o:title=""/>
                    <o:lock v:ext="edit" aspectratio="f"/>
                    <v:textbox inset="0mm,0mm,0mm,0mm">
                      <w:txbxContent>
                        <w:p>
                          <w:pPr>
                            <w:pStyle w:val="10"/>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22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v:textbox>
                    <w10:wrap type="through"/>
                  </v:shape>
                </w:pict>
              </mc:Fallback>
            </mc:AlternateContent>
          </w:r>
          <w:r>
            <w:rPr>
              <w:rFonts w:hint="eastAsia"/>
            </w:rPr>
            <w:t>2</w:t>
          </w:r>
          <w:r>
            <w:rPr>
              <w:rFonts w:hint="eastAsia"/>
              <w:lang w:val="en-US" w:eastAsia="zh-CN"/>
            </w:rPr>
            <w:t>025</w:t>
          </w:r>
          <w:r>
            <w:rPr>
              <w:rFonts w:hint="eastAsia"/>
            </w:rPr>
            <w:t>年</w:t>
          </w:r>
          <w:r>
            <w:rPr>
              <w:rFonts w:hint="eastAsia"/>
              <w:lang w:val="en-US" w:eastAsia="zh-CN"/>
            </w:rPr>
            <w:t>06</w:t>
          </w:r>
          <w:r>
            <w:rPr>
              <w:rFonts w:hint="eastAsia"/>
            </w:rPr>
            <w:t>月</w:t>
          </w:r>
          <w:r>
            <w:rPr>
              <w:rFonts w:hint="eastAsia"/>
              <w:lang w:eastAsia="zh-CN"/>
            </w:rPr>
            <w:t>1</w:t>
          </w:r>
          <w:r>
            <w:rPr>
              <w:rFonts w:hint="eastAsia"/>
              <w:lang w:val="en-US" w:eastAsia="zh-CN"/>
            </w:rPr>
            <w:t>0</w:t>
          </w:r>
          <w:r>
            <w:rPr>
              <w:rFonts w:hint="eastAsia"/>
            </w:rPr>
            <w:t>日</w:t>
          </w:r>
        </w:p>
      </w:tc>
    </w:tr>
  </w:tbl>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0"/>
                          </w:pPr>
                          <w:r>
                            <w:fldChar w:fldCharType="begin"/>
                          </w:r>
                          <w:r>
                            <w:instrText xml:space="preserve"> PAGE  \* MERGEFORMAT </w:instrText>
                          </w:r>
                          <w:r>
                            <w:fldChar w:fldCharType="separate"/>
                          </w:r>
                          <w:r>
                            <w:t>2</w:t>
                          </w:r>
                          <w:r>
                            <w:fldChar w:fldCharType="end"/>
                          </w:r>
                        </w:p>
                      </w:txbxContent>
                    </wps:txbx>
                    <wps:bodyPr wrap="none" lIns="0" tIns="0" rIns="0" bIns="0" upright="false">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OD9oWO1AQAAUwMAAA4AAAAAAAAAAQAgAAAANAEAAGRycy9lMm9E&#10;b2MueG1sUEsFBgAAAAAGAAYAWQEAAFsFA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6"/>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1"/>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560310" cy="10692765"/>
          <wp:effectExtent l="0" t="0" r="13970" b="5715"/>
          <wp:wrapNone/>
          <wp:docPr id="3"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jc w:val="both"/>
    </w:pPr>
    <w:r>
      <w:drawing>
        <wp:anchor distT="0" distB="0" distL="114300" distR="114300" simplePos="0" relativeHeight="251661312" behindDoc="1" locked="0" layoutInCell="0" allowOverlap="1">
          <wp:simplePos x="0" y="0"/>
          <wp:positionH relativeFrom="margin">
            <wp:posOffset>-1028700</wp:posOffset>
          </wp:positionH>
          <wp:positionV relativeFrom="margin">
            <wp:posOffset>-594360</wp:posOffset>
          </wp:positionV>
          <wp:extent cx="7560310" cy="10692765"/>
          <wp:effectExtent l="0" t="0" r="13970" b="5715"/>
          <wp:wrapNone/>
          <wp:docPr id="1"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5341B"/>
    <w:multiLevelType w:val="multilevel"/>
    <w:tmpl w:val="0515341B"/>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3">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4">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5">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6">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7">
    <w:nsid w:val="2D2B0A28"/>
    <w:multiLevelType w:val="multilevel"/>
    <w:tmpl w:val="2D2B0A2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31E7536C"/>
    <w:multiLevelType w:val="singleLevel"/>
    <w:tmpl w:val="31E7536C"/>
    <w:lvl w:ilvl="0" w:tentative="0">
      <w:start w:val="1"/>
      <w:numFmt w:val="lowerLetter"/>
      <w:lvlText w:val="%1)"/>
      <w:lvlJc w:val="left"/>
      <w:pPr>
        <w:tabs>
          <w:tab w:val="left" w:pos="799"/>
        </w:tabs>
        <w:ind w:left="341" w:leftChars="0" w:hanging="54" w:firstLineChars="0"/>
      </w:pPr>
      <w:rPr>
        <w:rFonts w:hint="default"/>
      </w:rPr>
    </w:lvl>
  </w:abstractNum>
  <w:abstractNum w:abstractNumId="9">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0">
    <w:nsid w:val="379D396D"/>
    <w:multiLevelType w:val="multilevel"/>
    <w:tmpl w:val="379D396D"/>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2">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3">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4">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5">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6">
    <w:nsid w:val="60852B96"/>
    <w:multiLevelType w:val="multilevel"/>
    <w:tmpl w:val="60852B96"/>
    <w:lvl w:ilvl="0" w:tentative="0">
      <w:start w:val="1"/>
      <w:numFmt w:val="lowerLetter"/>
      <w:lvlText w:val="%1)"/>
      <w:lvlJc w:val="left"/>
      <w:pPr>
        <w:ind w:left="1138" w:hanging="420"/>
      </w:pPr>
    </w:lvl>
    <w:lvl w:ilvl="1" w:tentative="0">
      <w:start w:val="1"/>
      <w:numFmt w:val="lowerLetter"/>
      <w:lvlText w:val="%2)"/>
      <w:lvlJc w:val="left"/>
      <w:pPr>
        <w:ind w:left="1558" w:hanging="420"/>
      </w:pPr>
    </w:lvl>
    <w:lvl w:ilvl="2" w:tentative="0">
      <w:start w:val="1"/>
      <w:numFmt w:val="lowerRoman"/>
      <w:lvlText w:val="%3."/>
      <w:lvlJc w:val="right"/>
      <w:pPr>
        <w:ind w:left="1978" w:hanging="420"/>
      </w:pPr>
    </w:lvl>
    <w:lvl w:ilvl="3" w:tentative="0">
      <w:start w:val="1"/>
      <w:numFmt w:val="decimal"/>
      <w:lvlText w:val="%4."/>
      <w:lvlJc w:val="left"/>
      <w:pPr>
        <w:ind w:left="2398" w:hanging="420"/>
      </w:pPr>
    </w:lvl>
    <w:lvl w:ilvl="4" w:tentative="0">
      <w:start w:val="1"/>
      <w:numFmt w:val="lowerLetter"/>
      <w:lvlText w:val="%5)"/>
      <w:lvlJc w:val="left"/>
      <w:pPr>
        <w:ind w:left="2818" w:hanging="420"/>
      </w:pPr>
    </w:lvl>
    <w:lvl w:ilvl="5" w:tentative="0">
      <w:start w:val="1"/>
      <w:numFmt w:val="lowerRoman"/>
      <w:lvlText w:val="%6."/>
      <w:lvlJc w:val="right"/>
      <w:pPr>
        <w:ind w:left="3238" w:hanging="420"/>
      </w:pPr>
    </w:lvl>
    <w:lvl w:ilvl="6" w:tentative="0">
      <w:start w:val="1"/>
      <w:numFmt w:val="decimal"/>
      <w:lvlText w:val="%7."/>
      <w:lvlJc w:val="left"/>
      <w:pPr>
        <w:ind w:left="3658" w:hanging="420"/>
      </w:pPr>
    </w:lvl>
    <w:lvl w:ilvl="7" w:tentative="0">
      <w:start w:val="1"/>
      <w:numFmt w:val="lowerLetter"/>
      <w:lvlText w:val="%8)"/>
      <w:lvlJc w:val="left"/>
      <w:pPr>
        <w:ind w:left="4078" w:hanging="420"/>
      </w:pPr>
    </w:lvl>
    <w:lvl w:ilvl="8" w:tentative="0">
      <w:start w:val="1"/>
      <w:numFmt w:val="lowerRoman"/>
      <w:lvlText w:val="%9."/>
      <w:lvlJc w:val="right"/>
      <w:pPr>
        <w:ind w:left="4498" w:hanging="420"/>
      </w:pPr>
    </w:lvl>
  </w:abstractNum>
  <w:abstractNum w:abstractNumId="17">
    <w:nsid w:val="61C75643"/>
    <w:multiLevelType w:val="multilevel"/>
    <w:tmpl w:val="61C75643"/>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8">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9">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0">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1">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2">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23">
    <w:nsid w:val="79057DE9"/>
    <w:multiLevelType w:val="multilevel"/>
    <w:tmpl w:val="79057DE9"/>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4">
    <w:nsid w:val="7D366003"/>
    <w:multiLevelType w:val="multilevel"/>
    <w:tmpl w:val="7D366003"/>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8"/>
  </w:num>
  <w:num w:numId="2">
    <w:abstractNumId w:val="7"/>
  </w:num>
  <w:num w:numId="3">
    <w:abstractNumId w:val="0"/>
  </w:num>
  <w:num w:numId="4">
    <w:abstractNumId w:val="16"/>
  </w:num>
  <w:num w:numId="5">
    <w:abstractNumId w:val="13"/>
  </w:num>
  <w:num w:numId="6">
    <w:abstractNumId w:val="18"/>
  </w:num>
  <w:num w:numId="7">
    <w:abstractNumId w:val="17"/>
  </w:num>
  <w:num w:numId="8">
    <w:abstractNumId w:val="21"/>
  </w:num>
  <w:num w:numId="9">
    <w:abstractNumId w:val="15"/>
  </w:num>
  <w:num w:numId="10">
    <w:abstractNumId w:val="5"/>
  </w:num>
  <w:num w:numId="11">
    <w:abstractNumId w:val="2"/>
  </w:num>
  <w:num w:numId="12">
    <w:abstractNumId w:val="22"/>
  </w:num>
  <w:num w:numId="13">
    <w:abstractNumId w:val="12"/>
  </w:num>
  <w:num w:numId="14">
    <w:abstractNumId w:val="6"/>
  </w:num>
  <w:num w:numId="15">
    <w:abstractNumId w:val="1"/>
  </w:num>
  <w:num w:numId="16">
    <w:abstractNumId w:val="20"/>
  </w:num>
  <w:num w:numId="17">
    <w:abstractNumId w:val="4"/>
  </w:num>
  <w:num w:numId="18">
    <w:abstractNumId w:val="19"/>
  </w:num>
  <w:num w:numId="19">
    <w:abstractNumId w:val="10"/>
  </w:num>
  <w:num w:numId="20">
    <w:abstractNumId w:val="3"/>
  </w:num>
  <w:num w:numId="21">
    <w:abstractNumId w:val="23"/>
  </w:num>
  <w:num w:numId="22">
    <w:abstractNumId w:val="9"/>
  </w:num>
  <w:num w:numId="23">
    <w:abstractNumId w:val="24"/>
  </w:num>
  <w:num w:numId="24">
    <w:abstractNumId w:val="1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ccda17ee-51b3-4b25-980d-c05ba5205f30"/>
  </w:docVars>
  <w:rsids>
    <w:rsidRoot w:val="007A6EDA"/>
    <w:rsid w:val="00044602"/>
    <w:rsid w:val="000813AC"/>
    <w:rsid w:val="000843E4"/>
    <w:rsid w:val="00091D8F"/>
    <w:rsid w:val="000F081B"/>
    <w:rsid w:val="0018025A"/>
    <w:rsid w:val="001A62E2"/>
    <w:rsid w:val="001C7BB5"/>
    <w:rsid w:val="001D24FB"/>
    <w:rsid w:val="001E3801"/>
    <w:rsid w:val="00221B55"/>
    <w:rsid w:val="00240511"/>
    <w:rsid w:val="00254C0B"/>
    <w:rsid w:val="00315F19"/>
    <w:rsid w:val="00353EDE"/>
    <w:rsid w:val="003D5191"/>
    <w:rsid w:val="003F010E"/>
    <w:rsid w:val="004706B5"/>
    <w:rsid w:val="005B11A1"/>
    <w:rsid w:val="005D5339"/>
    <w:rsid w:val="007A6EDA"/>
    <w:rsid w:val="008E6599"/>
    <w:rsid w:val="009648F4"/>
    <w:rsid w:val="009B310F"/>
    <w:rsid w:val="009F5BB3"/>
    <w:rsid w:val="00A275FB"/>
    <w:rsid w:val="00AA2667"/>
    <w:rsid w:val="00AB258F"/>
    <w:rsid w:val="00AD5E9E"/>
    <w:rsid w:val="00B258A2"/>
    <w:rsid w:val="00BC1643"/>
    <w:rsid w:val="00D20F8E"/>
    <w:rsid w:val="00D22FFA"/>
    <w:rsid w:val="00E25207"/>
    <w:rsid w:val="00E8061B"/>
    <w:rsid w:val="00EB77CA"/>
    <w:rsid w:val="00F3244F"/>
    <w:rsid w:val="00FA2F03"/>
    <w:rsid w:val="066E2140"/>
    <w:rsid w:val="078C29F9"/>
    <w:rsid w:val="0A701D39"/>
    <w:rsid w:val="0AEA0988"/>
    <w:rsid w:val="0C0C1DAF"/>
    <w:rsid w:val="120C3966"/>
    <w:rsid w:val="1289121D"/>
    <w:rsid w:val="1F1E48D5"/>
    <w:rsid w:val="34070D19"/>
    <w:rsid w:val="3A9800E3"/>
    <w:rsid w:val="3F7D06D7"/>
    <w:rsid w:val="44314A28"/>
    <w:rsid w:val="454E4C7C"/>
    <w:rsid w:val="480A3854"/>
    <w:rsid w:val="51427118"/>
    <w:rsid w:val="51530A9C"/>
    <w:rsid w:val="51970A03"/>
    <w:rsid w:val="541E1033"/>
    <w:rsid w:val="5A685562"/>
    <w:rsid w:val="5B567260"/>
    <w:rsid w:val="5C0A0C51"/>
    <w:rsid w:val="5E4B3F43"/>
    <w:rsid w:val="61095CDB"/>
    <w:rsid w:val="6346692C"/>
    <w:rsid w:val="649E4816"/>
    <w:rsid w:val="6AD62431"/>
    <w:rsid w:val="6EF54B98"/>
    <w:rsid w:val="6F51369A"/>
    <w:rsid w:val="74B4085B"/>
    <w:rsid w:val="76C447BE"/>
    <w:rsid w:val="8FBCBD2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5"/>
    <w:basedOn w:val="1"/>
    <w:next w:val="1"/>
    <w:qFormat/>
    <w:uiPriority w:val="0"/>
    <w:pPr>
      <w:keepNext/>
      <w:jc w:val="center"/>
      <w:outlineLvl w:val="4"/>
    </w:pPr>
    <w:rPr>
      <w:rFonts w:ascii="黑体" w:eastAsia="黑体"/>
      <w:sz w:val="72"/>
      <w:szCs w:val="21"/>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qFormat/>
    <w:uiPriority w:val="0"/>
    <w:pPr>
      <w:widowControl/>
      <w:ind w:firstLine="560" w:firstLineChars="200"/>
      <w:jc w:val="left"/>
    </w:pPr>
    <w:rPr>
      <w:rFonts w:ascii="宋体" w:hAnsi="宋体"/>
      <w:color w:val="000000"/>
      <w:sz w:val="28"/>
      <w:szCs w:val="33"/>
    </w:rPr>
  </w:style>
  <w:style w:type="paragraph" w:styleId="6">
    <w:name w:val="List 2"/>
    <w:basedOn w:val="1"/>
    <w:qFormat/>
    <w:uiPriority w:val="0"/>
    <w:pPr>
      <w:ind w:left="100" w:leftChars="200" w:hanging="200" w:hangingChars="200"/>
    </w:pPr>
  </w:style>
  <w:style w:type="paragraph" w:styleId="7">
    <w:name w:val="toc 3"/>
    <w:basedOn w:val="1"/>
    <w:next w:val="1"/>
    <w:semiHidden/>
    <w:unhideWhenUsed/>
    <w:qFormat/>
    <w:uiPriority w:val="0"/>
    <w:pPr>
      <w:ind w:left="840" w:leftChars="400"/>
    </w:pPr>
  </w:style>
  <w:style w:type="paragraph" w:styleId="8">
    <w:name w:val="Body Text Indent 2"/>
    <w:basedOn w:val="1"/>
    <w:qFormat/>
    <w:uiPriority w:val="0"/>
    <w:pPr>
      <w:spacing w:after="120" w:line="480" w:lineRule="auto"/>
      <w:ind w:left="420" w:leftChars="200"/>
    </w:pPr>
  </w:style>
  <w:style w:type="paragraph" w:styleId="9">
    <w:name w:val="Balloon Text"/>
    <w:basedOn w:val="1"/>
    <w:link w:val="20"/>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widowControl/>
      <w:spacing w:after="100" w:line="276" w:lineRule="auto"/>
      <w:jc w:val="left"/>
    </w:pPr>
    <w:rPr>
      <w:rFonts w:ascii="Calibri" w:hAnsi="Calibri" w:eastAsia="宋体" w:cs="Times New Roman"/>
      <w:kern w:val="0"/>
      <w:sz w:val="22"/>
      <w:szCs w:val="22"/>
    </w:rPr>
  </w:style>
  <w:style w:type="paragraph" w:styleId="13">
    <w:name w:val="Body Text Indent 3"/>
    <w:basedOn w:val="1"/>
    <w:qFormat/>
    <w:uiPriority w:val="0"/>
    <w:pPr>
      <w:spacing w:after="120"/>
      <w:ind w:left="420" w:leftChars="200"/>
    </w:pPr>
    <w:rPr>
      <w:sz w:val="16"/>
      <w:szCs w:val="16"/>
    </w:rPr>
  </w:style>
  <w:style w:type="paragraph" w:styleId="14">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15">
    <w:name w:val="Title"/>
    <w:basedOn w:val="1"/>
    <w:next w:val="1"/>
    <w:qFormat/>
    <w:uiPriority w:val="0"/>
    <w:pPr>
      <w:spacing w:before="240" w:after="60"/>
      <w:jc w:val="center"/>
      <w:outlineLvl w:val="0"/>
    </w:pPr>
    <w:rPr>
      <w:rFonts w:ascii="Cambria" w:hAnsi="Cambria"/>
      <w:b/>
      <w:bCs/>
      <w:sz w:val="32"/>
      <w:szCs w:val="32"/>
    </w:rPr>
  </w:style>
  <w:style w:type="character" w:styleId="18">
    <w:name w:val="page number"/>
    <w:basedOn w:val="17"/>
    <w:qFormat/>
    <w:uiPriority w:val="0"/>
  </w:style>
  <w:style w:type="character" w:styleId="19">
    <w:name w:val="Hyperlink"/>
    <w:basedOn w:val="17"/>
    <w:qFormat/>
    <w:uiPriority w:val="0"/>
    <w:rPr>
      <w:color w:val="0000FF"/>
      <w:u w:val="single"/>
    </w:rPr>
  </w:style>
  <w:style w:type="character" w:customStyle="1" w:styleId="20">
    <w:name w:val="批注框文本 Char"/>
    <w:basedOn w:val="17"/>
    <w:link w:val="9"/>
    <w:qFormat/>
    <w:uiPriority w:val="0"/>
    <w:rPr>
      <w:kern w:val="2"/>
      <w:sz w:val="18"/>
      <w:szCs w:val="18"/>
    </w:rPr>
  </w:style>
  <w:style w:type="paragraph" w:customStyle="1" w:styleId="21">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22">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23</Pages>
  <Words>12715</Words>
  <Characters>13386</Characters>
  <Lines>5</Lines>
  <Paragraphs>1</Paragraphs>
  <TotalTime>0</TotalTime>
  <ScaleCrop>false</ScaleCrop>
  <LinksUpToDate>false</LinksUpToDate>
  <CharactersWithSpaces>13927</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2025-09-11T12:06:25Z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FA4A47ED9A0C43A3A2BC083AC184C0AC_13</vt:lpwstr>
  </property>
</Properties>
</file>