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p>
    <w:p>
      <w:pPr>
        <w:spacing w:line="360" w:lineRule="auto"/>
        <w:jc w:val="left"/>
        <w:rPr>
          <w:highlight w:val="none"/>
        </w:rPr>
      </w:pPr>
    </w:p>
    <w:p>
      <w:pPr>
        <w:spacing w:line="360" w:lineRule="auto"/>
        <w:rPr>
          <w:highlight w:val="none"/>
        </w:rPr>
      </w:pPr>
    </w:p>
    <w:p>
      <w:pPr>
        <w:spacing w:line="360" w:lineRule="auto"/>
        <w:rPr>
          <w:highlight w:val="none"/>
        </w:rPr>
      </w:pPr>
      <w:bookmarkStart w:id="196" w:name="_GoBack"/>
      <w:bookmarkEnd w:id="196"/>
    </w:p>
    <w:p>
      <w:pPr>
        <w:spacing w:line="360" w:lineRule="auto"/>
        <w:rPr>
          <w:highlight w:val="none"/>
        </w:rPr>
      </w:pPr>
      <w:r>
        <w:rPr>
          <w:rFonts w:ascii="黑体" w:hAnsi="宋体" w:eastAsia="黑体"/>
          <w:szCs w:val="21"/>
          <w:highlight w:val="none"/>
        </w:rPr>
        <w:pict>
          <v:shape id="Text Box 4" o:spid="_x0000_s1026" o:spt="202" type="#_x0000_t202" style="position:absolute;left:0pt;margin-left:35.75pt;margin-top:8.8pt;height:128.5pt;width:403.8pt;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">
            <v:path/>
            <v:fill on="f" focussize="0,0"/>
            <v:stroke on="f"/>
            <v:imagedata o:title=""/>
            <o:lock v:ext="edit" aspectratio="f"/>
            <v:textbox inset="0mm,4mm,0mm,2.3mm">
              <w:txbxContent>
                <w:p>
                  <w:pPr>
                    <w:pStyle w:val="14"/>
                    <w:spacing w:before="0" w:after="0"/>
                    <w:rPr>
                      <w:rFonts w:hint="eastAsia" w:ascii="黑体" w:hAnsi="Times New Roman" w:eastAsia="黑体" w:cs="Times New Roman"/>
                      <w:b w:val="0"/>
                      <w:bCs w:val="0"/>
                      <w:color w:val="002071"/>
                      <w:kern w:val="2"/>
                      <w:sz w:val="52"/>
                      <w:szCs w:val="52"/>
                      <w:lang w:val="en-US" w:eastAsia="zh-CN" w:bidi="ar-SA"/>
                    </w:rPr>
                  </w:pPr>
                  <w:bookmarkStart w:id="194" w:name="_Toc444776325"/>
                  <w:bookmarkStart w:id="195" w:name="_Toc440007486"/>
                  <w:r>
                    <w:rPr>
                      <w:rFonts w:hint="eastAsia" w:ascii="黑体" w:hAnsi="Times New Roman" w:eastAsia="黑体" w:cs="Times New Roman"/>
                      <w:b w:val="0"/>
                      <w:bCs w:val="0"/>
                      <w:color w:val="002071"/>
                      <w:kern w:val="2"/>
                      <w:sz w:val="52"/>
                      <w:szCs w:val="52"/>
                      <w:lang w:val="en-US" w:eastAsia="zh-CN" w:bidi="ar-SA"/>
                    </w:rPr>
                    <w:t>信息技术服务管理体系和信息安全管理体系认证实施方案</w:t>
                  </w:r>
                  <w:bookmarkEnd w:id="194"/>
                  <w:bookmarkEnd w:id="195"/>
                </w:p>
                <w:p>
                  <w:pPr>
                    <w:pStyle w:val="4"/>
                    <w:rPr>
                      <w:color w:val="002071"/>
                      <w:sz w:val="52"/>
                      <w:szCs w:val="52"/>
                    </w:rPr>
                  </w:pPr>
                </w:p>
              </w:txbxContent>
            </v:textbox>
          </v:shape>
        </w:pic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5"/>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CQM/S-FN-06-004</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2015年09月09日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2019年10月11日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2019年10月11日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rPr>
          <w:rFonts w:hint="eastAsia"/>
          <w:b/>
          <w:bCs/>
          <w:sz w:val="30"/>
          <w:highlight w:val="none"/>
        </w:rPr>
      </w:pPr>
      <w:r>
        <w:rPr>
          <w:highlight w:val="none"/>
        </w:rPr>
        <w:t xml:space="preserve"> </w:t>
      </w:r>
      <w:r>
        <w:rPr>
          <w:rFonts w:hint="eastAsia" w:ascii="黑体" w:hAnsi="宋体" w:eastAsia="黑体"/>
          <w:szCs w:val="21"/>
          <w:highlight w:val="none"/>
        </w:rPr>
        <w:t xml:space="preserve">                     </w:t>
      </w:r>
    </w:p>
    <w:p>
      <w:pPr>
        <w:ind w:firstLine="602" w:firstLineChars="200"/>
        <w:jc w:val="center"/>
        <w:rPr>
          <w:b/>
          <w:bCs/>
          <w:sz w:val="30"/>
          <w:highlight w:val="none"/>
        </w:rPr>
      </w:pPr>
      <w:r>
        <w:rPr>
          <w:rFonts w:hint="eastAsia"/>
          <w:b/>
          <w:bCs/>
          <w:sz w:val="30"/>
          <w:highlight w:val="none"/>
        </w:rPr>
        <w:t>目    录</w:t>
      </w:r>
    </w:p>
    <w:p>
      <w:pPr>
        <w:pStyle w:val="11"/>
        <w:tabs>
          <w:tab w:val="right" w:leader="dot" w:pos="8302"/>
        </w:tabs>
        <w:rPr>
          <w:kern w:val="2"/>
          <w:sz w:val="21"/>
          <w:highlight w:val="none"/>
        </w:rPr>
      </w:pPr>
      <w:r>
        <w:rPr>
          <w:highlight w:val="none"/>
        </w:rPr>
        <w:fldChar w:fldCharType="begin"/>
      </w:r>
      <w:r>
        <w:rPr>
          <w:highlight w:val="none"/>
        </w:rPr>
        <w:instrText xml:space="preserve"> TOC \o "1-3" \h \z \u </w:instrText>
      </w:r>
      <w:r>
        <w:rPr>
          <w:highlight w:val="none"/>
        </w:rPr>
        <w:fldChar w:fldCharType="separate"/>
      </w:r>
      <w:r>
        <w:rPr>
          <w:rStyle w:val="18"/>
          <w:highlight w:val="none"/>
        </w:rPr>
        <w:fldChar w:fldCharType="begin"/>
      </w:r>
      <w:r>
        <w:rPr>
          <w:rStyle w:val="18"/>
          <w:highlight w:val="none"/>
        </w:rPr>
        <w:instrText xml:space="preserve"> </w:instrText>
      </w:r>
      <w:r>
        <w:rPr>
          <w:highlight w:val="none"/>
        </w:rPr>
        <w:instrText xml:space="preserve">HYPERLINK \l "_Toc444776327"</w:instrText>
      </w:r>
      <w:r>
        <w:rPr>
          <w:rStyle w:val="18"/>
          <w:highlight w:val="none"/>
        </w:rPr>
        <w:instrText xml:space="preserve"> </w:instrText>
      </w:r>
      <w:r>
        <w:rPr>
          <w:rStyle w:val="18"/>
          <w:highlight w:val="none"/>
        </w:rPr>
        <w:fldChar w:fldCharType="separate"/>
      </w:r>
      <w:r>
        <w:rPr>
          <w:rStyle w:val="18"/>
          <w:highlight w:val="none"/>
        </w:rPr>
        <w:t xml:space="preserve">1 </w:t>
      </w:r>
      <w:r>
        <w:rPr>
          <w:rStyle w:val="18"/>
          <w:rFonts w:hint="eastAsia"/>
          <w:highlight w:val="none"/>
        </w:rPr>
        <w:t>适用范围</w:t>
      </w:r>
      <w:r>
        <w:rPr>
          <w:highlight w:val="none"/>
        </w:rPr>
        <w:tab/>
      </w:r>
      <w:r>
        <w:rPr>
          <w:highlight w:val="none"/>
        </w:rPr>
        <w:fldChar w:fldCharType="begin"/>
      </w:r>
      <w:r>
        <w:rPr>
          <w:highlight w:val="none"/>
        </w:rPr>
        <w:instrText xml:space="preserve"> PAGEREF _Toc444776327 \h </w:instrText>
      </w:r>
      <w:r>
        <w:rPr>
          <w:highlight w:val="none"/>
        </w:rPr>
        <w:fldChar w:fldCharType="separate"/>
      </w:r>
      <w:r>
        <w:rPr>
          <w:highlight w:val="none"/>
        </w:rPr>
        <w:t>2</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"_Toc444776328"</w:instrText>
      </w:r>
      <w:r>
        <w:rPr>
          <w:rStyle w:val="18"/>
          <w:highlight w:val="none"/>
        </w:rPr>
        <w:instrText xml:space="preserve"> </w:instrText>
      </w:r>
      <w:r>
        <w:rPr>
          <w:rStyle w:val="18"/>
          <w:highlight w:val="none"/>
        </w:rPr>
        <w:fldChar w:fldCharType="separate"/>
      </w:r>
      <w:r>
        <w:rPr>
          <w:rStyle w:val="18"/>
          <w:highlight w:val="none"/>
        </w:rPr>
        <w:t xml:space="preserve">2 </w:t>
      </w:r>
      <w:r>
        <w:rPr>
          <w:rStyle w:val="18"/>
          <w:rFonts w:hint="eastAsia"/>
          <w:highlight w:val="none"/>
        </w:rPr>
        <w:t>认证模式</w:t>
      </w:r>
      <w:r>
        <w:rPr>
          <w:highlight w:val="none"/>
        </w:rPr>
        <w:tab/>
      </w:r>
      <w:r>
        <w:rPr>
          <w:highlight w:val="none"/>
        </w:rPr>
        <w:fldChar w:fldCharType="begin"/>
      </w:r>
      <w:r>
        <w:rPr>
          <w:highlight w:val="none"/>
        </w:rPr>
        <w:instrText xml:space="preserve"> PAGEREF _Toc444776328 \h </w:instrText>
      </w:r>
      <w:r>
        <w:rPr>
          <w:highlight w:val="none"/>
        </w:rPr>
        <w:fldChar w:fldCharType="separate"/>
      </w:r>
      <w:r>
        <w:rPr>
          <w:highlight w:val="none"/>
        </w:rPr>
        <w:t>2</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"_Toc444776329"</w:instrText>
      </w:r>
      <w:r>
        <w:rPr>
          <w:rStyle w:val="18"/>
          <w:highlight w:val="none"/>
        </w:rPr>
        <w:instrText xml:space="preserve"> </w:instrText>
      </w:r>
      <w:r>
        <w:rPr>
          <w:rStyle w:val="18"/>
          <w:highlight w:val="none"/>
        </w:rPr>
        <w:fldChar w:fldCharType="separate"/>
      </w:r>
      <w:r>
        <w:rPr>
          <w:rStyle w:val="18"/>
          <w:highlight w:val="none"/>
        </w:rPr>
        <w:t xml:space="preserve">3 </w:t>
      </w:r>
      <w:r>
        <w:rPr>
          <w:rStyle w:val="18"/>
          <w:rFonts w:hint="eastAsia"/>
          <w:highlight w:val="none"/>
        </w:rPr>
        <w:t>认证过程流程图</w:t>
      </w:r>
      <w:r>
        <w:rPr>
          <w:highlight w:val="none"/>
        </w:rPr>
        <w:tab/>
      </w:r>
      <w:r>
        <w:rPr>
          <w:highlight w:val="none"/>
        </w:rPr>
        <w:fldChar w:fldCharType="begin"/>
      </w:r>
      <w:r>
        <w:rPr>
          <w:highlight w:val="none"/>
        </w:rPr>
        <w:instrText xml:space="preserve"> PAGEREF _Toc444776329 \h </w:instrText>
      </w:r>
      <w:r>
        <w:rPr>
          <w:highlight w:val="none"/>
        </w:rPr>
        <w:fldChar w:fldCharType="separate"/>
      </w:r>
      <w:r>
        <w:rPr>
          <w:highlight w:val="none"/>
        </w:rPr>
        <w:t>2</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"_Toc444776330"</w:instrText>
      </w:r>
      <w:r>
        <w:rPr>
          <w:rStyle w:val="18"/>
          <w:highlight w:val="none"/>
        </w:rPr>
        <w:instrText xml:space="preserve"> </w:instrText>
      </w:r>
      <w:r>
        <w:rPr>
          <w:rStyle w:val="18"/>
          <w:highlight w:val="none"/>
        </w:rPr>
        <w:fldChar w:fldCharType="separate"/>
      </w:r>
      <w:r>
        <w:rPr>
          <w:rStyle w:val="18"/>
          <w:highlight w:val="none"/>
        </w:rPr>
        <w:t xml:space="preserve">4 </w:t>
      </w:r>
      <w:r>
        <w:rPr>
          <w:rStyle w:val="18"/>
          <w:rFonts w:hint="eastAsia"/>
          <w:highlight w:val="none"/>
        </w:rPr>
        <w:t>认证申请的基本条件</w:t>
      </w:r>
      <w:r>
        <w:rPr>
          <w:highlight w:val="none"/>
        </w:rPr>
        <w:tab/>
      </w:r>
      <w:r>
        <w:rPr>
          <w:highlight w:val="none"/>
        </w:rPr>
        <w:fldChar w:fldCharType="begin"/>
      </w:r>
      <w:r>
        <w:rPr>
          <w:highlight w:val="none"/>
        </w:rPr>
        <w:instrText xml:space="preserve"> PAGEREF _Toc444776330 \h </w:instrText>
      </w:r>
      <w:r>
        <w:rPr>
          <w:highlight w:val="none"/>
        </w:rPr>
        <w:fldChar w:fldCharType="separate"/>
      </w:r>
      <w:r>
        <w:rPr>
          <w:highlight w:val="none"/>
        </w:rPr>
        <w:t>3</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"_Toc444776331"</w:instrText>
      </w:r>
      <w:r>
        <w:rPr>
          <w:rStyle w:val="18"/>
          <w:highlight w:val="none"/>
        </w:rPr>
        <w:instrText xml:space="preserve"> </w:instrText>
      </w:r>
      <w:r>
        <w:rPr>
          <w:rStyle w:val="18"/>
          <w:highlight w:val="none"/>
        </w:rPr>
        <w:fldChar w:fldCharType="separate"/>
      </w:r>
      <w:r>
        <w:rPr>
          <w:rStyle w:val="18"/>
          <w:rFonts w:ascii="宋体" w:hAnsi="宋体"/>
          <w:highlight w:val="none"/>
        </w:rPr>
        <w:t xml:space="preserve">5 </w:t>
      </w:r>
      <w:r>
        <w:rPr>
          <w:rStyle w:val="18"/>
          <w:rFonts w:hint="eastAsia" w:ascii="宋体" w:hAnsi="宋体"/>
          <w:highlight w:val="none"/>
        </w:rPr>
        <w:t>审核实施</w:t>
      </w:r>
      <w:r>
        <w:rPr>
          <w:highlight w:val="none"/>
        </w:rPr>
        <w:tab/>
      </w:r>
      <w:r>
        <w:rPr>
          <w:highlight w:val="none"/>
        </w:rPr>
        <w:fldChar w:fldCharType="begin"/>
      </w:r>
      <w:r>
        <w:rPr>
          <w:highlight w:val="none"/>
        </w:rPr>
        <w:instrText xml:space="preserve"> PAGEREF _Toc444776331 \h </w:instrText>
      </w:r>
      <w:r>
        <w:rPr>
          <w:highlight w:val="none"/>
        </w:rPr>
        <w:fldChar w:fldCharType="separate"/>
      </w:r>
      <w:r>
        <w:rPr>
          <w:highlight w:val="none"/>
        </w:rPr>
        <w:t>4</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"_Toc444776335"</w:instrText>
      </w:r>
      <w:r>
        <w:rPr>
          <w:rStyle w:val="18"/>
          <w:highlight w:val="none"/>
        </w:rPr>
        <w:instrText xml:space="preserve"> </w:instrText>
      </w:r>
      <w:r>
        <w:rPr>
          <w:rStyle w:val="18"/>
          <w:highlight w:val="none"/>
        </w:rPr>
        <w:fldChar w:fldCharType="separate"/>
      </w:r>
      <w:r>
        <w:rPr>
          <w:rStyle w:val="18"/>
          <w:highlight w:val="none"/>
        </w:rPr>
        <w:t xml:space="preserve">6 </w:t>
      </w:r>
      <w:r>
        <w:rPr>
          <w:rStyle w:val="18"/>
          <w:rFonts w:hint="eastAsia"/>
          <w:highlight w:val="none"/>
        </w:rPr>
        <w:t>认证的批准、拒绝、保持、扩大、缩小、暂停、恢复和撤销的条件和程序</w:t>
      </w:r>
      <w:r>
        <w:rPr>
          <w:highlight w:val="none"/>
        </w:rPr>
        <w:tab/>
      </w:r>
      <w:r>
        <w:rPr>
          <w:highlight w:val="none"/>
        </w:rPr>
        <w:fldChar w:fldCharType="begin"/>
      </w:r>
      <w:r>
        <w:rPr>
          <w:highlight w:val="none"/>
        </w:rPr>
        <w:instrText xml:space="preserve"> PAGEREF _Toc444776335 \h </w:instrText>
      </w:r>
      <w:r>
        <w:rPr>
          <w:highlight w:val="none"/>
        </w:rPr>
        <w:fldChar w:fldCharType="separate"/>
      </w:r>
      <w:r>
        <w:rPr>
          <w:highlight w:val="none"/>
        </w:rPr>
        <w:t>10</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"_Toc444776346"</w:instrText>
      </w:r>
      <w:r>
        <w:rPr>
          <w:rStyle w:val="18"/>
          <w:highlight w:val="none"/>
        </w:rPr>
        <w:instrText xml:space="preserve"> </w:instrText>
      </w:r>
      <w:r>
        <w:rPr>
          <w:rStyle w:val="18"/>
          <w:highlight w:val="none"/>
        </w:rPr>
        <w:fldChar w:fldCharType="separate"/>
      </w:r>
      <w:r>
        <w:rPr>
          <w:rStyle w:val="18"/>
          <w:rFonts w:ascii="宋体" w:hAnsi="宋体"/>
          <w:highlight w:val="none"/>
        </w:rPr>
        <w:t xml:space="preserve">7 </w:t>
      </w:r>
      <w:r>
        <w:rPr>
          <w:rStyle w:val="18"/>
          <w:rFonts w:hint="eastAsia" w:ascii="宋体" w:hAnsi="宋体"/>
          <w:highlight w:val="none"/>
        </w:rPr>
        <w:t>认证证书和认证标志</w:t>
      </w:r>
      <w:r>
        <w:rPr>
          <w:highlight w:val="none"/>
        </w:rPr>
        <w:tab/>
      </w:r>
      <w:r>
        <w:rPr>
          <w:highlight w:val="none"/>
        </w:rPr>
        <w:fldChar w:fldCharType="begin"/>
      </w:r>
      <w:r>
        <w:rPr>
          <w:highlight w:val="none"/>
        </w:rPr>
        <w:instrText xml:space="preserve"> PAGEREF _Toc444776346 \h </w:instrText>
      </w:r>
      <w:r>
        <w:rPr>
          <w:highlight w:val="none"/>
        </w:rPr>
        <w:fldChar w:fldCharType="separate"/>
      </w:r>
      <w:r>
        <w:rPr>
          <w:highlight w:val="none"/>
        </w:rPr>
        <w:t>19</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"_Toc444776350"</w:instrText>
      </w:r>
      <w:r>
        <w:rPr>
          <w:rStyle w:val="18"/>
          <w:highlight w:val="none"/>
        </w:rPr>
        <w:instrText xml:space="preserve"> </w:instrText>
      </w:r>
      <w:r>
        <w:rPr>
          <w:rStyle w:val="18"/>
          <w:highlight w:val="none"/>
        </w:rPr>
        <w:fldChar w:fldCharType="separate"/>
      </w:r>
      <w:r>
        <w:rPr>
          <w:rStyle w:val="18"/>
          <w:rFonts w:ascii="宋体" w:hAnsi="宋体"/>
          <w:highlight w:val="none"/>
        </w:rPr>
        <w:t xml:space="preserve">8 </w:t>
      </w:r>
      <w:r>
        <w:rPr>
          <w:rStyle w:val="18"/>
          <w:rFonts w:hint="eastAsia" w:ascii="宋体" w:hAnsi="宋体"/>
          <w:highlight w:val="none"/>
        </w:rPr>
        <w:t>获证客户的信息通报</w:t>
      </w:r>
      <w:r>
        <w:rPr>
          <w:highlight w:val="none"/>
        </w:rPr>
        <w:tab/>
      </w:r>
      <w:r>
        <w:rPr>
          <w:highlight w:val="none"/>
        </w:rPr>
        <w:fldChar w:fldCharType="begin"/>
      </w:r>
      <w:r>
        <w:rPr>
          <w:highlight w:val="none"/>
        </w:rPr>
        <w:instrText xml:space="preserve"> PAGEREF _Toc444776350 \h </w:instrText>
      </w:r>
      <w:r>
        <w:rPr>
          <w:highlight w:val="none"/>
        </w:rPr>
        <w:fldChar w:fldCharType="separate"/>
      </w:r>
      <w:r>
        <w:rPr>
          <w:highlight w:val="none"/>
        </w:rPr>
        <w:t>20</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"_Toc444776351"</w:instrText>
      </w:r>
      <w:r>
        <w:rPr>
          <w:rStyle w:val="18"/>
          <w:highlight w:val="none"/>
        </w:rPr>
        <w:instrText xml:space="preserve"> </w:instrText>
      </w:r>
      <w:r>
        <w:rPr>
          <w:rStyle w:val="18"/>
          <w:highlight w:val="none"/>
        </w:rPr>
        <w:fldChar w:fldCharType="separate"/>
      </w:r>
      <w:r>
        <w:rPr>
          <w:rStyle w:val="18"/>
          <w:rFonts w:ascii="宋体" w:hAnsi="宋体"/>
          <w:highlight w:val="none"/>
        </w:rPr>
        <w:t xml:space="preserve">9 </w:t>
      </w:r>
      <w:r>
        <w:rPr>
          <w:rStyle w:val="18"/>
          <w:rFonts w:hint="eastAsia" w:ascii="宋体" w:hAnsi="宋体"/>
          <w:highlight w:val="none"/>
        </w:rPr>
        <w:t>认证要求变更的条件和程序</w:t>
      </w:r>
      <w:r>
        <w:rPr>
          <w:highlight w:val="none"/>
        </w:rPr>
        <w:tab/>
      </w:r>
      <w:r>
        <w:rPr>
          <w:highlight w:val="none"/>
        </w:rPr>
        <w:fldChar w:fldCharType="begin"/>
      </w:r>
      <w:r>
        <w:rPr>
          <w:highlight w:val="none"/>
        </w:rPr>
        <w:instrText xml:space="preserve"> PAGEREF _Toc444776351 \h </w:instrText>
      </w:r>
      <w:r>
        <w:rPr>
          <w:highlight w:val="none"/>
        </w:rPr>
        <w:fldChar w:fldCharType="separate"/>
      </w:r>
      <w:r>
        <w:rPr>
          <w:highlight w:val="none"/>
        </w:rPr>
        <w:t>21</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"_Toc444776354"</w:instrText>
      </w:r>
      <w:r>
        <w:rPr>
          <w:rStyle w:val="18"/>
          <w:highlight w:val="none"/>
        </w:rPr>
        <w:instrText xml:space="preserve"> </w:instrText>
      </w:r>
      <w:r>
        <w:rPr>
          <w:rStyle w:val="18"/>
          <w:highlight w:val="none"/>
        </w:rPr>
        <w:fldChar w:fldCharType="separate"/>
      </w:r>
      <w:r>
        <w:rPr>
          <w:rStyle w:val="18"/>
          <w:rFonts w:ascii="宋体" w:hAnsi="宋体"/>
          <w:highlight w:val="none"/>
        </w:rPr>
        <w:t xml:space="preserve">10 </w:t>
      </w:r>
      <w:r>
        <w:rPr>
          <w:rStyle w:val="18"/>
          <w:rFonts w:hint="eastAsia" w:ascii="宋体" w:hAnsi="宋体"/>
          <w:highlight w:val="none"/>
        </w:rPr>
        <w:t>保密</w:t>
      </w:r>
      <w:r>
        <w:rPr>
          <w:highlight w:val="none"/>
        </w:rPr>
        <w:tab/>
      </w:r>
      <w:r>
        <w:rPr>
          <w:highlight w:val="none"/>
        </w:rPr>
        <w:fldChar w:fldCharType="begin"/>
      </w:r>
      <w:r>
        <w:rPr>
          <w:highlight w:val="none"/>
        </w:rPr>
        <w:instrText xml:space="preserve"> PAGEREF _Toc444776354 \h </w:instrText>
      </w:r>
      <w:r>
        <w:rPr>
          <w:highlight w:val="none"/>
        </w:rPr>
        <w:fldChar w:fldCharType="separate"/>
      </w:r>
      <w:r>
        <w:rPr>
          <w:highlight w:val="none"/>
        </w:rPr>
        <w:t>21</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"_Toc444776355"</w:instrText>
      </w:r>
      <w:r>
        <w:rPr>
          <w:rStyle w:val="18"/>
          <w:highlight w:val="none"/>
        </w:rPr>
        <w:instrText xml:space="preserve"> </w:instrText>
      </w:r>
      <w:r>
        <w:rPr>
          <w:rStyle w:val="18"/>
          <w:highlight w:val="none"/>
        </w:rPr>
        <w:fldChar w:fldCharType="separate"/>
      </w:r>
      <w:r>
        <w:rPr>
          <w:rStyle w:val="18"/>
          <w:rFonts w:ascii="宋体" w:hAnsi="宋体"/>
          <w:highlight w:val="none"/>
        </w:rPr>
        <w:t xml:space="preserve">11 </w:t>
      </w:r>
      <w:r>
        <w:rPr>
          <w:rStyle w:val="18"/>
          <w:rFonts w:hint="eastAsia" w:ascii="宋体" w:hAnsi="宋体"/>
          <w:highlight w:val="none"/>
        </w:rPr>
        <w:t>申诉</w:t>
      </w:r>
      <w:r>
        <w:rPr>
          <w:rStyle w:val="18"/>
          <w:rFonts w:ascii="宋体" w:hAnsi="宋体"/>
          <w:highlight w:val="none"/>
        </w:rPr>
        <w:t>/</w:t>
      </w:r>
      <w:r>
        <w:rPr>
          <w:rStyle w:val="18"/>
          <w:rFonts w:hint="eastAsia" w:ascii="宋体" w:hAnsi="宋体"/>
          <w:highlight w:val="none"/>
        </w:rPr>
        <w:t>投诉、争议及处理</w:t>
      </w:r>
      <w:r>
        <w:rPr>
          <w:highlight w:val="none"/>
        </w:rPr>
        <w:tab/>
      </w:r>
      <w:r>
        <w:rPr>
          <w:highlight w:val="none"/>
        </w:rPr>
        <w:fldChar w:fldCharType="begin"/>
      </w:r>
      <w:r>
        <w:rPr>
          <w:highlight w:val="none"/>
        </w:rPr>
        <w:instrText xml:space="preserve"> PAGEREF _Toc444776355 \h </w:instrText>
      </w:r>
      <w:r>
        <w:rPr>
          <w:highlight w:val="none"/>
        </w:rPr>
        <w:fldChar w:fldCharType="separate"/>
      </w:r>
      <w:r>
        <w:rPr>
          <w:highlight w:val="none"/>
        </w:rPr>
        <w:t>21</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"_Toc444776356"</w:instrText>
      </w:r>
      <w:r>
        <w:rPr>
          <w:rStyle w:val="18"/>
          <w:highlight w:val="none"/>
        </w:rPr>
        <w:instrText xml:space="preserve"> </w:instrText>
      </w:r>
      <w:r>
        <w:rPr>
          <w:rStyle w:val="18"/>
          <w:highlight w:val="none"/>
        </w:rPr>
        <w:fldChar w:fldCharType="separate"/>
      </w:r>
      <w:r>
        <w:rPr>
          <w:rStyle w:val="18"/>
          <w:rFonts w:ascii="宋体" w:hAnsi="宋体"/>
          <w:highlight w:val="none"/>
        </w:rPr>
        <w:t xml:space="preserve">12 </w:t>
      </w:r>
      <w:r>
        <w:rPr>
          <w:rStyle w:val="18"/>
          <w:rFonts w:hint="eastAsia" w:ascii="宋体" w:hAnsi="宋体"/>
          <w:highlight w:val="none"/>
        </w:rPr>
        <w:t>费用</w:t>
      </w:r>
      <w:r>
        <w:rPr>
          <w:highlight w:val="none"/>
        </w:rPr>
        <w:tab/>
      </w:r>
      <w:r>
        <w:rPr>
          <w:highlight w:val="none"/>
        </w:rPr>
        <w:fldChar w:fldCharType="begin"/>
      </w:r>
      <w:r>
        <w:rPr>
          <w:highlight w:val="none"/>
        </w:rPr>
        <w:instrText xml:space="preserve"> PAGEREF _Toc444776356 \h </w:instrText>
      </w:r>
      <w:r>
        <w:rPr>
          <w:highlight w:val="none"/>
        </w:rPr>
        <w:fldChar w:fldCharType="separate"/>
      </w:r>
      <w:r>
        <w:rPr>
          <w:highlight w:val="none"/>
        </w:rPr>
        <w:t>22</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"_Toc444776357"</w:instrText>
      </w:r>
      <w:r>
        <w:rPr>
          <w:rStyle w:val="18"/>
          <w:highlight w:val="none"/>
        </w:rPr>
        <w:instrText xml:space="preserve"> </w:instrText>
      </w:r>
      <w:r>
        <w:rPr>
          <w:rStyle w:val="18"/>
          <w:highlight w:val="none"/>
        </w:rPr>
        <w:fldChar w:fldCharType="separate"/>
      </w:r>
      <w:r>
        <w:rPr>
          <w:rStyle w:val="18"/>
          <w:highlight w:val="none"/>
        </w:rPr>
        <w:t xml:space="preserve">13 </w:t>
      </w:r>
      <w:r>
        <w:rPr>
          <w:rStyle w:val="18"/>
          <w:rFonts w:hint="eastAsia"/>
          <w:highlight w:val="none"/>
        </w:rPr>
        <w:t>公告</w:t>
      </w:r>
      <w:r>
        <w:rPr>
          <w:highlight w:val="none"/>
        </w:rPr>
        <w:tab/>
      </w:r>
      <w:r>
        <w:rPr>
          <w:highlight w:val="none"/>
        </w:rPr>
        <w:fldChar w:fldCharType="begin"/>
      </w:r>
      <w:r>
        <w:rPr>
          <w:highlight w:val="none"/>
        </w:rPr>
        <w:instrText xml:space="preserve"> PAGEREF _Toc444776357 \h </w:instrText>
      </w:r>
      <w:r>
        <w:rPr>
          <w:highlight w:val="none"/>
        </w:rPr>
        <w:fldChar w:fldCharType="separate"/>
      </w:r>
      <w:r>
        <w:rPr>
          <w:highlight w:val="none"/>
        </w:rPr>
        <w:t>22</w:t>
      </w:r>
      <w:r>
        <w:rPr>
          <w:highlight w:val="none"/>
        </w:rPr>
        <w:fldChar w:fldCharType="end"/>
      </w:r>
      <w:r>
        <w:rPr>
          <w:rStyle w:val="18"/>
          <w:highlight w:val="none"/>
        </w:rPr>
        <w:fldChar w:fldCharType="end"/>
      </w:r>
    </w:p>
    <w:p>
      <w:pPr>
        <w:pStyle w:val="11"/>
        <w:tabs>
          <w:tab w:val="right" w:leader="dot" w:pos="8302"/>
        </w:tabs>
        <w:rPr>
          <w:kern w:val="2"/>
          <w:sz w:val="21"/>
          <w:highlight w:val="none"/>
        </w:rPr>
      </w:pPr>
      <w:r>
        <w:rPr>
          <w:rStyle w:val="18"/>
          <w:highlight w:val="none"/>
        </w:rPr>
        <w:fldChar w:fldCharType="begin"/>
      </w:r>
      <w:r>
        <w:rPr>
          <w:rStyle w:val="18"/>
          <w:highlight w:val="none"/>
        </w:rPr>
        <w:instrText xml:space="preserve"> </w:instrText>
      </w:r>
      <w:r>
        <w:rPr>
          <w:highlight w:val="none"/>
        </w:rPr>
        <w:instrText xml:space="preserve">HYPERLINK \l "_Toc444776358"</w:instrText>
      </w:r>
      <w:r>
        <w:rPr>
          <w:rStyle w:val="18"/>
          <w:highlight w:val="none"/>
        </w:rPr>
        <w:instrText xml:space="preserve"> </w:instrText>
      </w:r>
      <w:r>
        <w:rPr>
          <w:rStyle w:val="18"/>
          <w:highlight w:val="none"/>
        </w:rPr>
        <w:fldChar w:fldCharType="separate"/>
      </w:r>
      <w:r>
        <w:rPr>
          <w:rStyle w:val="18"/>
          <w:highlight w:val="none"/>
        </w:rPr>
        <w:t xml:space="preserve">14 </w:t>
      </w:r>
      <w:r>
        <w:rPr>
          <w:rStyle w:val="18"/>
          <w:rFonts w:hint="eastAsia"/>
          <w:highlight w:val="none"/>
        </w:rPr>
        <w:t>附则</w:t>
      </w:r>
      <w:bookmarkStart w:id="0" w:name="_Hlt455670904"/>
      <w:bookmarkStart w:id="1" w:name="_Hlt455670903"/>
      <w:r>
        <w:rPr>
          <w:highlight w:val="none"/>
        </w:rPr>
        <w:tab/>
      </w:r>
      <w:bookmarkEnd w:id="0"/>
      <w:bookmarkEnd w:id="1"/>
      <w:r>
        <w:rPr>
          <w:highlight w:val="none"/>
        </w:rPr>
        <w:fldChar w:fldCharType="begin"/>
      </w:r>
      <w:r>
        <w:rPr>
          <w:highlight w:val="none"/>
        </w:rPr>
        <w:instrText xml:space="preserve"> PAGEREF _Toc444776358 \h </w:instrText>
      </w:r>
      <w:r>
        <w:rPr>
          <w:highlight w:val="none"/>
        </w:rPr>
        <w:fldChar w:fldCharType="separate"/>
      </w:r>
      <w:r>
        <w:rPr>
          <w:highlight w:val="none"/>
        </w:rPr>
        <w:t>22</w:t>
      </w:r>
      <w:r>
        <w:rPr>
          <w:highlight w:val="none"/>
        </w:rPr>
        <w:fldChar w:fldCharType="end"/>
      </w:r>
      <w:r>
        <w:rPr>
          <w:rStyle w:val="18"/>
          <w:highlight w:val="none"/>
        </w:rPr>
        <w:fldChar w:fldCharType="end"/>
      </w:r>
    </w:p>
    <w:p>
      <w:pPr>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keepNext w:val="0"/>
        <w:keepLines w:val="0"/>
        <w:pageBreakBefore w:val="0"/>
        <w:widowControl w:val="0"/>
        <w:kinsoku/>
        <w:wordWrap/>
        <w:overflowPunct/>
        <w:topLinePunct w:val="0"/>
        <w:autoSpaceDE/>
        <w:autoSpaceDN/>
        <w:bidi w:val="0"/>
        <w:adjustRightInd/>
        <w:snapToGrid/>
        <w:spacing w:before="469" w:beforeLines="150"/>
        <w:jc w:val="center"/>
        <w:textAlignment w:val="auto"/>
        <w:rPr>
          <w:rFonts w:hint="eastAsia" w:ascii="黑体" w:hAnsi="黑体" w:eastAsia="黑体"/>
          <w:bCs/>
          <w:sz w:val="36"/>
          <w:szCs w:val="36"/>
          <w:highlight w:val="none"/>
        </w:rPr>
      </w:pPr>
      <w:bookmarkStart w:id="2" w:name="_Toc440007487"/>
      <w:bookmarkStart w:id="3" w:name="_Toc444776326"/>
      <w:r>
        <w:rPr>
          <w:rFonts w:hint="eastAsia" w:ascii="黑体" w:hAnsi="黑体" w:eastAsia="黑体"/>
          <w:bCs/>
          <w:sz w:val="36"/>
          <w:szCs w:val="36"/>
          <w:highlight w:val="none"/>
        </w:rPr>
        <w:t>信息技术服务管理体系和信息安全管理</w:t>
      </w:r>
    </w:p>
    <w:p>
      <w:pPr>
        <w:jc w:val="center"/>
        <w:rPr>
          <w:rFonts w:hint="eastAsia" w:ascii="黑体" w:hAnsi="黑体" w:eastAsia="黑体"/>
          <w:sz w:val="36"/>
          <w:szCs w:val="36"/>
          <w:highlight w:val="none"/>
        </w:rPr>
      </w:pPr>
      <w:r>
        <w:rPr>
          <w:rFonts w:hint="eastAsia" w:ascii="黑体" w:hAnsi="黑体" w:eastAsia="黑体"/>
          <w:bCs/>
          <w:sz w:val="36"/>
          <w:szCs w:val="36"/>
          <w:highlight w:val="none"/>
        </w:rPr>
        <w:t>体系</w:t>
      </w:r>
      <w:r>
        <w:rPr>
          <w:rFonts w:hint="eastAsia" w:ascii="黑体" w:hAnsi="黑体" w:eastAsia="黑体"/>
          <w:sz w:val="36"/>
          <w:szCs w:val="36"/>
          <w:highlight w:val="none"/>
        </w:rPr>
        <w:t>认证实施方案</w:t>
      </w:r>
    </w:p>
    <w:bookmarkEnd w:id="2"/>
    <w:bookmarkEnd w:id="3"/>
    <w:p>
      <w:pPr>
        <w:pStyle w:val="2"/>
        <w:spacing w:line="360" w:lineRule="auto"/>
        <w:rPr>
          <w:rFonts w:hint="eastAsia"/>
          <w:highlight w:val="none"/>
          <w:lang w:eastAsia="zh-CN"/>
        </w:rPr>
      </w:pPr>
      <w:bookmarkStart w:id="4" w:name="_Toc444776327"/>
      <w:bookmarkStart w:id="5" w:name="_Toc185325622"/>
      <w:bookmarkStart w:id="6" w:name="_Toc85105511"/>
      <w:bookmarkStart w:id="7" w:name="_Toc85256247"/>
      <w:bookmarkStart w:id="8" w:name="_Toc85103622"/>
    </w:p>
    <w:p>
      <w:pPr>
        <w:pStyle w:val="2"/>
        <w:spacing w:line="360" w:lineRule="auto"/>
        <w:rPr>
          <w:rFonts w:hint="eastAsia"/>
          <w:highlight w:val="none"/>
          <w:lang w:eastAsia="zh-CN"/>
        </w:rPr>
      </w:pPr>
      <w:r>
        <w:rPr>
          <w:highlight w:val="none"/>
        </w:rPr>
        <w:t>1</w:t>
      </w:r>
      <w:r>
        <w:rPr>
          <w:rFonts w:hint="eastAsia"/>
          <w:highlight w:val="none"/>
        </w:rPr>
        <w:t xml:space="preserve"> </w:t>
      </w:r>
      <w:r>
        <w:rPr>
          <w:rFonts w:hint="eastAsia" w:ascii="宋体" w:hAnsi="宋体"/>
          <w:szCs w:val="24"/>
          <w:highlight w:val="none"/>
        </w:rPr>
        <w:t>适用范围</w:t>
      </w:r>
      <w:bookmarkEnd w:id="4"/>
      <w:bookmarkEnd w:id="5"/>
      <w:bookmarkEnd w:id="6"/>
      <w:bookmarkEnd w:id="7"/>
      <w:bookmarkEnd w:id="8"/>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适用于方圆标志认证集团有限公司（以下简称：CQM）实施信息技术服务管理体系和信息安全管理体系认证，满足第三方认证制度要求，作为提供认证服务的规范。必要时，在认证合同中补充相关的技术要求。</w:t>
      </w:r>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本认证方案在认证双方签订合同时予以确认和采用。</w:t>
      </w:r>
      <w:bookmarkStart w:id="9" w:name="_Toc85105512"/>
      <w:bookmarkStart w:id="10" w:name="_Toc85256248"/>
      <w:bookmarkStart w:id="11" w:name="_Toc85103623"/>
      <w:bookmarkStart w:id="12" w:name="_Toc33598902"/>
      <w:bookmarkStart w:id="13" w:name="_Toc33599577"/>
      <w:bookmarkStart w:id="14" w:name="_Toc33600411"/>
      <w:bookmarkStart w:id="15" w:name="_Toc33598962"/>
      <w:bookmarkStart w:id="16" w:name="_Toc33600362"/>
      <w:bookmarkStart w:id="17" w:name="_Toc33599704"/>
      <w:bookmarkStart w:id="18" w:name="_Toc33598531"/>
    </w:p>
    <w:p>
      <w:pPr>
        <w:spacing w:line="360" w:lineRule="auto"/>
        <w:ind w:firstLine="480" w:firstLineChars="200"/>
        <w:rPr>
          <w:rFonts w:hint="eastAsia" w:ascii="宋体" w:hAnsi="宋体"/>
          <w:sz w:val="24"/>
          <w:highlight w:val="none"/>
        </w:rPr>
      </w:pPr>
    </w:p>
    <w:p>
      <w:pPr>
        <w:pStyle w:val="2"/>
        <w:spacing w:line="360" w:lineRule="auto"/>
        <w:rPr>
          <w:rFonts w:hint="eastAsia" w:ascii="宋体" w:hAnsi="宋体"/>
          <w:szCs w:val="24"/>
          <w:highlight w:val="none"/>
        </w:rPr>
      </w:pPr>
      <w:bookmarkStart w:id="19" w:name="_Toc185325623"/>
      <w:bookmarkStart w:id="20" w:name="_Toc444776328"/>
      <w:r>
        <w:rPr>
          <w:rFonts w:hint="eastAsia" w:ascii="宋体" w:hAnsi="宋体"/>
          <w:szCs w:val="24"/>
          <w:highlight w:val="none"/>
        </w:rPr>
        <w:t>2 认证模式</w:t>
      </w:r>
      <w:bookmarkEnd w:id="9"/>
      <w:bookmarkEnd w:id="10"/>
      <w:bookmarkEnd w:id="11"/>
      <w:bookmarkEnd w:id="12"/>
      <w:bookmarkEnd w:id="13"/>
      <w:bookmarkEnd w:id="14"/>
      <w:bookmarkEnd w:id="15"/>
      <w:bookmarkEnd w:id="16"/>
      <w:bookmarkEnd w:id="17"/>
      <w:bookmarkEnd w:id="18"/>
      <w:bookmarkEnd w:id="19"/>
      <w:bookmarkEnd w:id="20"/>
    </w:p>
    <w:p>
      <w:pPr>
        <w:spacing w:line="360" w:lineRule="auto"/>
        <w:ind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hint="eastAsia" w:ascii="宋体" w:hAnsi="宋体"/>
          <w:sz w:val="24"/>
          <w:highlight w:val="none"/>
        </w:rPr>
      </w:pPr>
    </w:p>
    <w:p>
      <w:pPr>
        <w:pStyle w:val="2"/>
        <w:spacing w:line="360" w:lineRule="auto"/>
        <w:rPr>
          <w:rFonts w:hint="eastAsia" w:ascii="宋体" w:hAnsi="宋体"/>
          <w:szCs w:val="24"/>
          <w:highlight w:val="none"/>
          <w:lang w:eastAsia="zh-CN"/>
        </w:rPr>
      </w:pPr>
      <w:bookmarkStart w:id="21" w:name="_Toc444776329"/>
      <w:bookmarkStart w:id="22" w:name="_Toc85103624"/>
      <w:bookmarkStart w:id="23" w:name="_Toc185325624"/>
      <w:bookmarkStart w:id="24" w:name="_Toc85105513"/>
      <w:bookmarkStart w:id="25" w:name="_Toc85256249"/>
      <w:r>
        <w:rPr>
          <w:rFonts w:hint="eastAsia" w:ascii="宋体" w:hAnsi="宋体"/>
          <w:szCs w:val="24"/>
          <w:highlight w:val="none"/>
        </w:rPr>
        <w:t>3 认证过程流程图</w:t>
      </w:r>
      <w:bookmarkEnd w:id="21"/>
      <w:bookmarkEnd w:id="22"/>
      <w:bookmarkEnd w:id="23"/>
      <w:bookmarkEnd w:id="24"/>
      <w:bookmarkEnd w:id="25"/>
    </w:p>
    <w:p>
      <w:pPr>
        <w:spacing w:line="360" w:lineRule="auto"/>
        <w:rPr>
          <w:rFonts w:hint="eastAsia" w:ascii="宋体" w:hAnsi="宋体"/>
          <w:sz w:val="24"/>
          <w:highlight w:val="none"/>
        </w:rPr>
      </w:pPr>
      <w:r>
        <w:rPr>
          <w:rFonts w:ascii="宋体" w:hAnsi="宋体"/>
          <w:sz w:val="24"/>
          <w:highlight w:val="none"/>
        </w:rPr>
        <w:pict>
          <v:shape id="_x0000_s1027" o:spid="_x0000_s1027" o:spt="75" type="#_x0000_t75" style="position:absolute;left:0pt;margin-left:94.05pt;margin-top:13.2pt;height:286pt;width:226.5pt;z-index:251662336;mso-width-relative:page;mso-height-relative:page;" o:ole="t" filled="f" o:preferrelative="t" stroked="f" coordsize="21600,21600">
            <v:path/>
            <v:fill on="f" alignshape="1" focussize="0,0"/>
            <v:stroke on="f"/>
            <v:imagedata r:id="rId11" grayscale="f" bilevel="f" o:title=""/>
            <o:lock v:ext="edit" aspectratio="t"/>
          </v:shape>
          <o:OLEObject Type="Embed" ProgID="" ShapeID="_x0000_s1027" DrawAspect="Content" ObjectID="_1468075725" r:id="rId10">
            <o:LockedField>false</o:LockedField>
          </o:OLEObject>
        </w:pict>
      </w: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pStyle w:val="2"/>
        <w:spacing w:line="360" w:lineRule="auto"/>
        <w:rPr>
          <w:rFonts w:hint="eastAsia" w:ascii="宋体" w:hAnsi="宋体"/>
          <w:szCs w:val="24"/>
          <w:highlight w:val="none"/>
          <w:lang w:eastAsia="zh-CN"/>
        </w:rPr>
      </w:pPr>
      <w:bookmarkStart w:id="26" w:name="_Toc33598903"/>
      <w:bookmarkStart w:id="27" w:name="_Toc185325625"/>
      <w:bookmarkStart w:id="28" w:name="_Toc33599705"/>
      <w:bookmarkStart w:id="29" w:name="_Toc85103625"/>
      <w:bookmarkStart w:id="30" w:name="_Toc33599578"/>
      <w:bookmarkStart w:id="31" w:name="_Toc33598963"/>
      <w:bookmarkStart w:id="32" w:name="_Toc33598532"/>
      <w:bookmarkStart w:id="33" w:name="_Toc33600363"/>
      <w:bookmarkStart w:id="34" w:name="_Toc444776330"/>
      <w:bookmarkStart w:id="35" w:name="_Toc85256250"/>
      <w:bookmarkStart w:id="36" w:name="_Toc85105514"/>
      <w:bookmarkStart w:id="37" w:name="_Toc33600412"/>
      <w:r>
        <w:rPr>
          <w:rFonts w:hint="eastAsia" w:ascii="宋体" w:hAnsi="宋体"/>
          <w:szCs w:val="24"/>
          <w:highlight w:val="none"/>
        </w:rPr>
        <w:t>4 认证申请的基本条件</w:t>
      </w:r>
      <w:bookmarkEnd w:id="26"/>
      <w:bookmarkEnd w:id="27"/>
      <w:bookmarkEnd w:id="28"/>
      <w:bookmarkEnd w:id="29"/>
      <w:bookmarkEnd w:id="30"/>
      <w:bookmarkEnd w:id="31"/>
      <w:bookmarkEnd w:id="32"/>
      <w:bookmarkEnd w:id="33"/>
      <w:bookmarkEnd w:id="34"/>
      <w:bookmarkEnd w:id="35"/>
      <w:bookmarkEnd w:id="36"/>
      <w:bookmarkEnd w:id="37"/>
    </w:p>
    <w:p>
      <w:pPr>
        <w:numPr>
          <w:ilvl w:val="0"/>
          <w:numId w:val="1"/>
        </w:numPr>
        <w:spacing w:line="360" w:lineRule="auto"/>
        <w:ind w:hanging="136"/>
        <w:rPr>
          <w:rFonts w:ascii="宋体" w:hAnsi="宋体" w:cs="宋体"/>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认证客户具有明确的法律地位,客户具有企业营业执照、事业单位法人证书、社会团体登记证书、非企业法人登记证书、党政机关设立文件等，可独立申请认证</w:t>
      </w:r>
      <w:r>
        <w:rPr>
          <w:rFonts w:hint="eastAsia" w:ascii="宋体" w:hAnsi="宋体" w:cs="宋体"/>
          <w:color w:val="0D0D0D"/>
          <w:sz w:val="24"/>
          <w:highlight w:val="none"/>
        </w:rPr>
        <w:t>。其他类型的客户，应由具备资格的单位代为申请；应填写《方圆标志管理体系认证申请书》，多名称客户组织申请管理体系认证时，补充填写《</w:t>
      </w:r>
      <w:r>
        <w:rPr>
          <w:rFonts w:ascii="宋体" w:hAnsi="宋体" w:cs="宋体"/>
          <w:color w:val="0D0D0D"/>
          <w:sz w:val="24"/>
          <w:highlight w:val="none"/>
        </w:rPr>
        <w:t>组织结构</w:t>
      </w:r>
      <w:r>
        <w:rPr>
          <w:rFonts w:hint="eastAsia" w:ascii="宋体" w:hAnsi="宋体" w:cs="宋体"/>
          <w:color w:val="0D0D0D"/>
          <w:sz w:val="24"/>
          <w:highlight w:val="none"/>
        </w:rPr>
        <w:t>与认证责任、产品责任必要的表述内容》；</w:t>
      </w:r>
    </w:p>
    <w:p>
      <w:pPr>
        <w:numPr>
          <w:ilvl w:val="0"/>
          <w:numId w:val="1"/>
        </w:numPr>
        <w:spacing w:line="360" w:lineRule="auto"/>
        <w:ind w:hanging="136"/>
        <w:rPr>
          <w:rFonts w:ascii="宋体" w:hAnsi="宋体"/>
          <w:sz w:val="24"/>
          <w:highlight w:val="none"/>
        </w:rPr>
      </w:pPr>
      <w:r>
        <w:rPr>
          <w:rFonts w:hint="eastAsia" w:ascii="宋体" w:hAnsi="宋体" w:cs="宋体"/>
          <w:sz w:val="24"/>
          <w:highlight w:val="none"/>
        </w:rPr>
        <w:t>国家、地方或行业有要求时，认证客户具有规定的行政认可文件</w:t>
      </w:r>
      <w:r>
        <w:rPr>
          <w:rFonts w:ascii="宋体" w:hAnsi="宋体" w:cs="宋体"/>
          <w:sz w:val="24"/>
          <w:highlight w:val="none"/>
        </w:rPr>
        <w:t>,</w:t>
      </w:r>
      <w:r>
        <w:rPr>
          <w:rFonts w:hint="eastAsia" w:ascii="宋体" w:hAnsi="宋体" w:cs="宋体"/>
          <w:sz w:val="24"/>
          <w:highlight w:val="none"/>
        </w:rPr>
        <w:t>其申请认证范围应在法律地位文件和行政认可文件核准的范围内；申请的认证范围不能包括涉及国家安全和机密的内容和场所；</w:t>
      </w:r>
    </w:p>
    <w:p>
      <w:pPr>
        <w:numPr>
          <w:ilvl w:val="0"/>
          <w:numId w:val="1"/>
        </w:numPr>
        <w:spacing w:line="360" w:lineRule="auto"/>
        <w:ind w:hanging="136"/>
        <w:rPr>
          <w:rFonts w:ascii="宋体" w:hAnsi="宋体" w:cs="宋体"/>
          <w:sz w:val="24"/>
          <w:highlight w:val="none"/>
        </w:rPr>
      </w:pPr>
      <w:r>
        <w:rPr>
          <w:rFonts w:hint="eastAsia" w:ascii="宋体" w:hAnsi="宋体" w:cs="宋体"/>
          <w:sz w:val="24"/>
          <w:highlight w:val="none"/>
        </w:rPr>
        <w:t>认证客户按相应的管理体系标准建立了文件化的管理体系（含适用性声明），初次认证现场审核前已至少持续稳定运行了</w:t>
      </w:r>
      <w:r>
        <w:rPr>
          <w:rFonts w:ascii="宋体" w:hAnsi="宋体" w:cs="宋体"/>
          <w:sz w:val="24"/>
          <w:highlight w:val="none"/>
        </w:rPr>
        <w:t>3</w:t>
      </w:r>
      <w:r>
        <w:rPr>
          <w:rFonts w:hint="eastAsia" w:ascii="宋体" w:hAnsi="宋体" w:cs="宋体"/>
          <w:sz w:val="24"/>
          <w:highlight w:val="none"/>
        </w:rPr>
        <w:t>个月，至少已实施一次完整的内审和管理评审或已编制实施计划，并承诺在证书有效期内，持续有效运行管理体系；</w:t>
      </w:r>
    </w:p>
    <w:p>
      <w:pPr>
        <w:numPr>
          <w:ilvl w:val="0"/>
          <w:numId w:val="1"/>
        </w:numPr>
        <w:spacing w:line="360" w:lineRule="auto"/>
        <w:ind w:hanging="136"/>
        <w:rPr>
          <w:rFonts w:hint="eastAsia" w:ascii="宋体" w:hAnsi="宋体" w:cs="宋体"/>
          <w:sz w:val="24"/>
          <w:highlight w:val="none"/>
        </w:rPr>
      </w:pPr>
      <w:r>
        <w:rPr>
          <w:rFonts w:hint="eastAsia" w:ascii="宋体" w:hAnsi="宋体" w:cs="宋体"/>
          <w:sz w:val="24"/>
          <w:highlight w:val="none"/>
        </w:rPr>
        <w:t>认证客户承诺遵守国家的法律、法规及其他要求</w:t>
      </w:r>
      <w:r>
        <w:rPr>
          <w:rFonts w:ascii="宋体" w:hAnsi="宋体" w:cs="宋体"/>
          <w:sz w:val="24"/>
          <w:highlight w:val="none"/>
        </w:rPr>
        <w:t>,</w:t>
      </w:r>
      <w:r>
        <w:rPr>
          <w:rFonts w:hint="eastAsia" w:ascii="宋体" w:hAnsi="宋体" w:cs="宋体"/>
          <w:sz w:val="24"/>
          <w:highlight w:val="none"/>
        </w:rPr>
        <w:t>承诺始终遵守认证的有关规定，承担与认证有关的法律责任，并有义务协助认证监管部门的监督检查，对有关事项的询问和调查如实提供相关材料和信息；</w:t>
      </w:r>
    </w:p>
    <w:p>
      <w:pPr>
        <w:numPr>
          <w:ilvl w:val="0"/>
          <w:numId w:val="1"/>
        </w:numPr>
        <w:spacing w:line="360" w:lineRule="auto"/>
        <w:ind w:hanging="136"/>
        <w:rPr>
          <w:rFonts w:hint="eastAsia" w:ascii="宋体" w:hAnsi="宋体" w:cs="方正仿宋简体"/>
          <w:sz w:val="24"/>
          <w:highlight w:val="none"/>
        </w:rPr>
      </w:pPr>
      <w:r>
        <w:rPr>
          <w:rFonts w:hint="eastAsia" w:ascii="宋体" w:hAnsi="宋体" w:cs="宋体"/>
          <w:sz w:val="24"/>
          <w:highlight w:val="none"/>
        </w:rPr>
        <w:t>认证客户在一年内，未发生</w:t>
      </w:r>
      <w:r>
        <w:rPr>
          <w:rFonts w:hint="eastAsia" w:ascii="宋体" w:hAnsi="宋体"/>
          <w:sz w:val="24"/>
          <w:highlight w:val="none"/>
        </w:rPr>
        <w:t>信息安全泄露事故或信息技术服务</w:t>
      </w:r>
      <w:r>
        <w:rPr>
          <w:rFonts w:hint="eastAsia" w:ascii="宋体" w:hAnsi="宋体" w:cs="方正仿宋简体"/>
          <w:sz w:val="24"/>
          <w:highlight w:val="none"/>
        </w:rPr>
        <w:t>事故</w:t>
      </w:r>
      <w:r>
        <w:rPr>
          <w:rFonts w:hint="eastAsia" w:ascii="宋体" w:hAnsi="宋体"/>
          <w:sz w:val="24"/>
          <w:highlight w:val="none"/>
        </w:rPr>
        <w:t>（包括已经或可能严重损害国家安全、社会秩序、公共利益或获证客户及其相关方的合法权益）</w:t>
      </w:r>
      <w:r>
        <w:rPr>
          <w:rFonts w:hint="eastAsia" w:ascii="宋体" w:hAnsi="宋体" w:cs="方正仿宋简体"/>
          <w:sz w:val="24"/>
          <w:highlight w:val="none"/>
        </w:rPr>
        <w:t>或</w:t>
      </w:r>
      <w:r>
        <w:rPr>
          <w:rFonts w:hint="eastAsia" w:ascii="宋体" w:hAnsi="宋体" w:cs="宋体"/>
          <w:sz w:val="24"/>
          <w:highlight w:val="none"/>
        </w:rPr>
        <w:t>被执法监管部门责令停业整顿或在全国企业信用信息公示系统中被列入“严重违法企业名单”</w:t>
      </w:r>
      <w:r>
        <w:rPr>
          <w:rFonts w:hint="eastAsia" w:ascii="宋体" w:hAnsi="宋体" w:cs="方正仿宋简体"/>
          <w:sz w:val="24"/>
          <w:highlight w:val="none"/>
        </w:rPr>
        <w:t>或违反国家相关法规，虚报、瞒报获证所需信息的情况</w:t>
      </w:r>
      <w:r>
        <w:rPr>
          <w:rFonts w:hint="eastAsia" w:ascii="宋体" w:hAnsi="宋体" w:cs="宋体"/>
          <w:sz w:val="24"/>
          <w:highlight w:val="none"/>
        </w:rPr>
        <w:t>；</w:t>
      </w:r>
    </w:p>
    <w:p>
      <w:pPr>
        <w:numPr>
          <w:ilvl w:val="0"/>
          <w:numId w:val="1"/>
        </w:numPr>
        <w:spacing w:line="360" w:lineRule="auto"/>
        <w:ind w:hanging="136"/>
        <w:rPr>
          <w:rFonts w:hint="eastAsia" w:ascii="宋体" w:hAnsi="宋体" w:cs="宋体"/>
          <w:sz w:val="24"/>
          <w:highlight w:val="none"/>
        </w:rPr>
      </w:pPr>
      <w:r>
        <w:rPr>
          <w:rFonts w:hint="eastAsia" w:ascii="宋体" w:hAnsi="宋体" w:cs="方正仿宋简体"/>
          <w:sz w:val="24"/>
          <w:highlight w:val="none"/>
        </w:rPr>
        <w:t>认证客户向CQM说明对认证机构资质要求或认证人员身份背景的要求，以及适用的与保守国家秘密或维护国家安全有关的法律法规要求，并说明是否存在因包含保密性或敏感性信息而不能提供给审核组核查的任何管理体系文件或记录的情况。</w:t>
      </w:r>
    </w:p>
    <w:p>
      <w:pPr>
        <w:numPr>
          <w:ilvl w:val="0"/>
          <w:numId w:val="1"/>
        </w:numPr>
        <w:spacing w:line="360" w:lineRule="auto"/>
        <w:ind w:hanging="136"/>
        <w:rPr>
          <w:rFonts w:hint="eastAsia" w:ascii="宋体" w:hAnsi="宋体" w:cs="方正仿宋简体"/>
          <w:sz w:val="24"/>
          <w:highlight w:val="none"/>
        </w:rPr>
      </w:pPr>
      <w:r>
        <w:rPr>
          <w:rFonts w:hint="eastAsia" w:ascii="宋体" w:hAnsi="宋体" w:cs="方正仿宋简体"/>
          <w:sz w:val="24"/>
          <w:highlight w:val="none"/>
        </w:rPr>
        <w:t>组织按照《方圆标志管理体系认证申请书》要求提交申请</w:t>
      </w:r>
      <w:r>
        <w:rPr>
          <w:rFonts w:hint="eastAsia" w:ascii="宋体" w:hAnsi="宋体"/>
          <w:sz w:val="24"/>
          <w:highlight w:val="none"/>
        </w:rPr>
        <w:t>资</w:t>
      </w:r>
      <w:r>
        <w:rPr>
          <w:rFonts w:hint="eastAsia" w:ascii="宋体" w:hAnsi="宋体" w:cs="方正仿宋简体"/>
          <w:sz w:val="24"/>
          <w:highlight w:val="none"/>
        </w:rPr>
        <w:t>料时，受理人员应与申请人进行确认，提交资料是否包含申请组织保密性或敏</w:t>
      </w:r>
      <w:r>
        <w:rPr>
          <w:rFonts w:hint="eastAsia" w:ascii="宋体" w:hAnsi="宋体"/>
          <w:sz w:val="24"/>
          <w:highlight w:val="none"/>
        </w:rPr>
        <w:t>感</w:t>
      </w:r>
      <w:r>
        <w:rPr>
          <w:rFonts w:hint="eastAsia" w:ascii="宋体" w:hAnsi="宋体" w:cs="方正仿宋简体"/>
          <w:sz w:val="24"/>
          <w:highlight w:val="none"/>
        </w:rPr>
        <w:t>性信息。在不影</w:t>
      </w:r>
      <w:r>
        <w:rPr>
          <w:rFonts w:hint="eastAsia" w:ascii="宋体" w:hAnsi="宋体"/>
          <w:sz w:val="24"/>
          <w:highlight w:val="none"/>
        </w:rPr>
        <w:t>响</w:t>
      </w:r>
      <w:r>
        <w:rPr>
          <w:rFonts w:hint="eastAsia" w:ascii="宋体" w:hAnsi="宋体" w:cs="方正仿宋简体"/>
          <w:sz w:val="24"/>
          <w:highlight w:val="none"/>
        </w:rPr>
        <w:t>申请评审和文件审核的前提下认证客户可以对提交资料进行相应的处理，删除其中的保密性或敏感性信息；</w:t>
      </w:r>
    </w:p>
    <w:p>
      <w:pPr>
        <w:numPr>
          <w:ilvl w:val="0"/>
          <w:numId w:val="1"/>
        </w:numPr>
        <w:spacing w:line="360" w:lineRule="auto"/>
        <w:ind w:hanging="136"/>
        <w:rPr>
          <w:rFonts w:hint="eastAsia" w:ascii="宋体" w:hAnsi="宋体" w:cs="宋体"/>
          <w:sz w:val="24"/>
          <w:highlight w:val="none"/>
        </w:rPr>
      </w:pPr>
      <w:r>
        <w:rPr>
          <w:rFonts w:hint="eastAsia" w:ascii="宋体" w:hAnsi="宋体" w:cs="方正仿宋简体"/>
          <w:sz w:val="24"/>
          <w:highlight w:val="none"/>
        </w:rPr>
        <w:t>认证客户</w:t>
      </w:r>
      <w:r>
        <w:rPr>
          <w:rFonts w:hint="eastAsia" w:ascii="宋体" w:hAnsi="宋体" w:cs="宋体"/>
          <w:sz w:val="24"/>
          <w:highlight w:val="none"/>
        </w:rPr>
        <w:t>承</w:t>
      </w:r>
      <w:r>
        <w:rPr>
          <w:rFonts w:hint="eastAsia" w:ascii="宋体" w:hAnsi="宋体" w:cs="方正仿宋简体"/>
          <w:sz w:val="24"/>
          <w:highlight w:val="none"/>
        </w:rPr>
        <w:t>诺获得CQM认证后，按规定使用认证证书和认证标志和有关信息，不得擅</w:t>
      </w:r>
      <w:r>
        <w:rPr>
          <w:rFonts w:hint="eastAsia" w:ascii="宋体" w:hAnsi="宋体" w:cs="宋体"/>
          <w:sz w:val="24"/>
          <w:highlight w:val="none"/>
        </w:rPr>
        <w:t>自利用管理体系认证证书的文字、符号误导公众认为其产品或服务通过认证。按合同支付认证费用，并按规定接受监督；</w:t>
      </w:r>
    </w:p>
    <w:p>
      <w:pPr>
        <w:numPr>
          <w:ilvl w:val="0"/>
          <w:numId w:val="1"/>
        </w:numPr>
        <w:spacing w:line="360" w:lineRule="auto"/>
        <w:ind w:hanging="136"/>
        <w:rPr>
          <w:rFonts w:hint="eastAsia" w:ascii="宋体" w:hAnsi="宋体"/>
          <w:sz w:val="24"/>
          <w:highlight w:val="none"/>
        </w:rPr>
      </w:pPr>
      <w:r>
        <w:rPr>
          <w:rFonts w:hint="eastAsia" w:ascii="宋体" w:hAnsi="宋体"/>
          <w:sz w:val="24"/>
          <w:highlight w:val="none"/>
        </w:rPr>
        <w:t>认证客户承诺获得</w:t>
      </w:r>
      <w:r>
        <w:rPr>
          <w:rFonts w:hint="eastAsia" w:ascii="宋体" w:hAnsi="宋体" w:cs="宋体"/>
          <w:sz w:val="24"/>
          <w:highlight w:val="none"/>
        </w:rPr>
        <w:t>方圆</w:t>
      </w:r>
      <w:r>
        <w:rPr>
          <w:rFonts w:hint="eastAsia" w:ascii="宋体" w:hAnsi="宋体"/>
          <w:sz w:val="24"/>
          <w:highlight w:val="none"/>
        </w:rPr>
        <w:t xml:space="preserve">认证后按照CQM要求向CQM通报管理体系变更的  </w:t>
      </w:r>
    </w:p>
    <w:p>
      <w:pPr>
        <w:spacing w:line="360" w:lineRule="auto"/>
        <w:ind w:left="562"/>
        <w:rPr>
          <w:rFonts w:hint="eastAsia" w:ascii="宋体" w:hAnsi="宋体"/>
          <w:sz w:val="24"/>
          <w:highlight w:val="none"/>
        </w:rPr>
      </w:pPr>
      <w:r>
        <w:rPr>
          <w:rFonts w:hint="eastAsia" w:ascii="宋体" w:hAnsi="宋体"/>
          <w:sz w:val="24"/>
          <w:highlight w:val="none"/>
        </w:rPr>
        <w:t>信息和其他可能影响管理体系持续满足认证标准要求的能力的事宜的信息，一</w:t>
      </w:r>
      <w:r>
        <w:rPr>
          <w:rFonts w:hint="eastAsia" w:ascii="宋体" w:hAnsi="宋体" w:cs="宋体"/>
          <w:sz w:val="24"/>
          <w:highlight w:val="none"/>
        </w:rPr>
        <w:t>般</w:t>
      </w:r>
      <w:r>
        <w:rPr>
          <w:rFonts w:hint="eastAsia" w:ascii="宋体" w:hAnsi="宋体"/>
          <w:sz w:val="24"/>
          <w:highlight w:val="none"/>
        </w:rPr>
        <w:t>包括：客户及相关方有重大投诉；所提供的信息技术服务或信息安全服务被执法监管部门列入“黑名单”；发生信息安全泄露事故或信息技术服务重大事故；相关情况发生变更（包括：法律地位、生产经营状况、组织机构或所有权变更、资质证书变更；法定代表人、最高管理者、管理者代表发生变更；服务的工作场所变更；管理体系覆盖的活动范围变更；管理体系和重要过程的重大变更等）；出现影响管理体系运行的其他重要情况；</w:t>
      </w:r>
    </w:p>
    <w:p>
      <w:pPr>
        <w:spacing w:line="360" w:lineRule="auto"/>
        <w:ind w:left="717" w:leftChars="170" w:hanging="360" w:hangingChars="150"/>
        <w:rPr>
          <w:rFonts w:hint="eastAsia"/>
          <w:color w:val="000000"/>
          <w:highlight w:val="none"/>
        </w:rPr>
      </w:pPr>
      <w:r>
        <w:rPr>
          <w:rFonts w:hint="eastAsia" w:ascii="宋体" w:hAnsi="宋体"/>
          <w:color w:val="000000"/>
          <w:sz w:val="24"/>
          <w:highlight w:val="none"/>
        </w:rPr>
        <w:t>10）认证审核期间，认证客户能够提供与拟认证范围相关的</w:t>
      </w:r>
      <w:r>
        <w:rPr>
          <w:rFonts w:hint="eastAsia" w:ascii="宋体" w:hAnsi="宋体" w:cs="宋体"/>
          <w:color w:val="000000"/>
          <w:sz w:val="24"/>
          <w:highlight w:val="none"/>
        </w:rPr>
        <w:t>产品/服务/活动现场。</w:t>
      </w:r>
    </w:p>
    <w:p>
      <w:pPr>
        <w:spacing w:line="360" w:lineRule="auto"/>
        <w:rPr>
          <w:rFonts w:hint="eastAsia" w:ascii="宋体" w:hAnsi="宋体"/>
          <w:sz w:val="24"/>
          <w:highlight w:val="none"/>
        </w:rPr>
      </w:pPr>
      <w:r>
        <w:rPr>
          <w:rFonts w:hint="eastAsia" w:ascii="宋体" w:hAnsi="宋体" w:cs="方正仿宋简体"/>
          <w:sz w:val="24"/>
          <w:highlight w:val="none"/>
        </w:rPr>
        <w:t xml:space="preserve">                                                                                                                                                                                                                                                                                                                 </w:t>
      </w:r>
    </w:p>
    <w:p>
      <w:pPr>
        <w:pStyle w:val="2"/>
        <w:spacing w:line="360" w:lineRule="auto"/>
        <w:rPr>
          <w:rFonts w:hint="eastAsia" w:ascii="宋体" w:hAnsi="宋体"/>
          <w:szCs w:val="24"/>
          <w:highlight w:val="none"/>
        </w:rPr>
      </w:pPr>
      <w:bookmarkStart w:id="38" w:name="_Toc185325626"/>
      <w:bookmarkStart w:id="39" w:name="_Toc444776331"/>
      <w:r>
        <w:rPr>
          <w:rFonts w:hint="eastAsia" w:ascii="宋体" w:hAnsi="宋体"/>
          <w:szCs w:val="24"/>
          <w:highlight w:val="none"/>
        </w:rPr>
        <w:t>5 审核实施</w:t>
      </w:r>
      <w:bookmarkEnd w:id="38"/>
      <w:bookmarkEnd w:id="39"/>
    </w:p>
    <w:p>
      <w:pPr>
        <w:pStyle w:val="3"/>
        <w:spacing w:before="0" w:after="0" w:line="360" w:lineRule="auto"/>
        <w:rPr>
          <w:rFonts w:hint="eastAsia" w:ascii="宋体" w:hAnsi="宋体" w:eastAsia="宋体"/>
          <w:sz w:val="24"/>
          <w:szCs w:val="24"/>
          <w:highlight w:val="none"/>
        </w:rPr>
      </w:pPr>
      <w:bookmarkStart w:id="40" w:name="_Toc185325627"/>
      <w:bookmarkStart w:id="41" w:name="_Toc444776332"/>
      <w:r>
        <w:rPr>
          <w:rFonts w:hint="eastAsia" w:ascii="宋体" w:hAnsi="宋体" w:eastAsia="宋体"/>
          <w:sz w:val="24"/>
          <w:szCs w:val="24"/>
          <w:highlight w:val="none"/>
        </w:rPr>
        <w:t>5.1 审核准则</w:t>
      </w:r>
      <w:bookmarkEnd w:id="40"/>
      <w:bookmarkEnd w:id="41"/>
    </w:p>
    <w:p>
      <w:pPr>
        <w:spacing w:line="360" w:lineRule="auto"/>
        <w:ind w:firstLine="360" w:firstLineChars="150"/>
        <w:rPr>
          <w:rFonts w:hint="eastAsia" w:ascii="宋体" w:hAnsi="宋体"/>
          <w:sz w:val="24"/>
          <w:highlight w:val="none"/>
        </w:rPr>
      </w:pPr>
      <w:r>
        <w:rPr>
          <w:rFonts w:hint="eastAsia" w:ascii="宋体" w:hAnsi="宋体"/>
          <w:sz w:val="24"/>
          <w:highlight w:val="none"/>
        </w:rPr>
        <w:t>认证双方确认的审核依据如下：</w:t>
      </w:r>
    </w:p>
    <w:p>
      <w:pPr>
        <w:numPr>
          <w:ilvl w:val="0"/>
          <w:numId w:val="2"/>
        </w:numPr>
        <w:spacing w:line="360" w:lineRule="auto"/>
        <w:ind w:firstLine="6"/>
        <w:rPr>
          <w:rFonts w:hint="eastAsia" w:ascii="宋体" w:hAnsi="宋体"/>
          <w:sz w:val="24"/>
          <w:highlight w:val="none"/>
        </w:rPr>
      </w:pPr>
      <w:r>
        <w:rPr>
          <w:rFonts w:hint="eastAsia" w:ascii="宋体" w:hAnsi="宋体"/>
          <w:sz w:val="24"/>
          <w:highlight w:val="none"/>
        </w:rPr>
        <w:t>信息技术服务管理体系标准： ISO/IEC 20000-1《信息技术  服务管理 第一部分：服务管理体系 要求》；</w:t>
      </w:r>
    </w:p>
    <w:p>
      <w:pPr>
        <w:numPr>
          <w:ilvl w:val="0"/>
          <w:numId w:val="2"/>
        </w:numPr>
        <w:spacing w:line="360" w:lineRule="auto"/>
        <w:ind w:firstLine="6"/>
        <w:rPr>
          <w:rFonts w:hint="eastAsia" w:ascii="宋体" w:hAnsi="宋体"/>
          <w:sz w:val="24"/>
          <w:highlight w:val="none"/>
        </w:rPr>
      </w:pPr>
      <w:r>
        <w:rPr>
          <w:rFonts w:hint="eastAsia" w:ascii="宋体" w:hAnsi="宋体"/>
          <w:sz w:val="24"/>
          <w:highlight w:val="none"/>
        </w:rPr>
        <w:t>信息安全管理体系标准：GB/T 22080/ISO/IEC 27001《信息技术  安全技术 信息安全管理体系 要求》；</w:t>
      </w:r>
    </w:p>
    <w:p>
      <w:pPr>
        <w:numPr>
          <w:ilvl w:val="0"/>
          <w:numId w:val="2"/>
        </w:numPr>
        <w:spacing w:line="360" w:lineRule="auto"/>
        <w:ind w:firstLine="6"/>
        <w:jc w:val="left"/>
        <w:rPr>
          <w:rFonts w:hint="eastAsia" w:ascii="宋体" w:hAnsi="宋体"/>
          <w:sz w:val="24"/>
          <w:highlight w:val="none"/>
        </w:rPr>
      </w:pPr>
      <w:r>
        <w:rPr>
          <w:rFonts w:hint="eastAsia" w:ascii="宋体" w:hAnsi="宋体"/>
          <w:sz w:val="24"/>
          <w:highlight w:val="none"/>
        </w:rPr>
        <w:t>审核准则还包括受审核方所适用的信息安全/信息技术服务方针、目标、适用性声明（信息安全管理体系适用）、程序、标准、法律法规、操作规范、合同要求或行业规范。</w:t>
      </w:r>
    </w:p>
    <w:p>
      <w:pPr>
        <w:pStyle w:val="3"/>
        <w:spacing w:before="0" w:after="0" w:line="360" w:lineRule="auto"/>
        <w:rPr>
          <w:rFonts w:ascii="宋体" w:hAnsi="宋体" w:eastAsia="宋体"/>
          <w:sz w:val="24"/>
          <w:szCs w:val="24"/>
          <w:highlight w:val="none"/>
          <w:lang w:val="en-GB"/>
        </w:rPr>
      </w:pPr>
      <w:bookmarkStart w:id="42" w:name="_Toc185325628"/>
      <w:bookmarkStart w:id="43" w:name="_Toc444776333"/>
      <w:r>
        <w:rPr>
          <w:rFonts w:hint="eastAsia" w:ascii="宋体" w:hAnsi="宋体" w:eastAsia="宋体"/>
          <w:sz w:val="24"/>
          <w:szCs w:val="24"/>
          <w:highlight w:val="none"/>
        </w:rPr>
        <w:t>5</w:t>
      </w:r>
      <w:r>
        <w:rPr>
          <w:rFonts w:ascii="宋体" w:hAnsi="宋体" w:eastAsia="宋体"/>
          <w:sz w:val="24"/>
          <w:szCs w:val="24"/>
          <w:highlight w:val="none"/>
        </w:rPr>
        <w:t xml:space="preserve">.2 </w:t>
      </w:r>
      <w:r>
        <w:rPr>
          <w:rFonts w:hint="eastAsia" w:ascii="宋体" w:hAnsi="宋体" w:eastAsia="宋体"/>
          <w:sz w:val="24"/>
          <w:szCs w:val="24"/>
          <w:highlight w:val="none"/>
        </w:rPr>
        <w:t>审核过程</w:t>
      </w:r>
      <w:bookmarkEnd w:id="42"/>
      <w:bookmarkEnd w:id="43"/>
    </w:p>
    <w:p>
      <w:pPr>
        <w:spacing w:line="360" w:lineRule="auto"/>
        <w:jc w:val="left"/>
        <w:rPr>
          <w:rFonts w:hint="eastAsia" w:ascii="宋体" w:hAnsi="宋体"/>
          <w:bCs/>
          <w:sz w:val="24"/>
          <w:highlight w:val="none"/>
        </w:rPr>
      </w:pPr>
      <w:r>
        <w:rPr>
          <w:rFonts w:hint="eastAsia" w:ascii="宋体" w:hAnsi="宋体"/>
          <w:bCs/>
          <w:sz w:val="24"/>
          <w:highlight w:val="none"/>
        </w:rPr>
        <w:t>5.</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第二阶段审核的目的是评价受审核方管理体系实施的符合性和有效性。二阶段审核情况需进一步作出详细记录。</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第一阶段必须到现场审核。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信息技术服务管理体系第一阶段与第二阶段现场审核间隔不少于5个工作日且不多于60个工作日。</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审核组对在第一阶段和第二阶段审核中收集的所有信息和证据进行汇总分析，评价审核发现并形成审核结论。</w:t>
      </w:r>
    </w:p>
    <w:p>
      <w:pPr>
        <w:spacing w:line="360" w:lineRule="auto"/>
        <w:rPr>
          <w:rFonts w:hint="eastAsia" w:ascii="宋体" w:hAnsi="宋体"/>
          <w:bCs/>
          <w:sz w:val="24"/>
          <w:highlight w:val="none"/>
        </w:rPr>
      </w:pPr>
      <w:r>
        <w:rPr>
          <w:rFonts w:hint="eastAsia" w:ascii="宋体" w:hAnsi="宋体"/>
          <w:bCs/>
          <w:sz w:val="24"/>
          <w:highlight w:val="none"/>
        </w:rPr>
        <w:t>5.</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审核第二阶段审核所需资源的配置情况，并与申请方商定第二阶段审核的细节，以确定第二阶段审核安排。信息技术服务管理体系确认:参与服务提供的其他方及管理情况、服务点数量及分布情况，以及IT服务过程流程及职责分配、服务项目情况等。信息安全管理体系确认：信息资产、风险分析及不可接受风险处置情况、信息安全服务的项目情况等。</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评价组织是否策划和实施了内部审核与管理评审，以及管理体系实施的程度能否证明其已为第二阶段审核做好准备。</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如果发生任何将影响管理体系的重要变更，CQM可能将重复整个或部分第一阶段审核。第一阶段审核的结果可能导致推迟或取消第二阶段审核。</w:t>
      </w:r>
    </w:p>
    <w:p>
      <w:pPr>
        <w:spacing w:line="360" w:lineRule="auto"/>
        <w:rPr>
          <w:rFonts w:hint="eastAsia" w:ascii="宋体" w:hAnsi="宋体"/>
          <w:bCs/>
          <w:sz w:val="24"/>
          <w:highlight w:val="none"/>
        </w:rPr>
      </w:pPr>
      <w:r>
        <w:rPr>
          <w:rFonts w:hint="eastAsia" w:ascii="宋体" w:hAnsi="宋体"/>
          <w:bCs/>
          <w:sz w:val="24"/>
          <w:highlight w:val="none"/>
        </w:rPr>
        <w:t>5.</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与适用的管理体系标准和其他规范性文件的所有要求的符合情况；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依据关键绩效目标和指标，对绩效进行的监视、测量、报告和评审；</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管理体系和绩效中与遵守法律有关的方面；</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受审核方过程的运作控制；</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内部审核和管理评审实施情况；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管理职责的落实，包括针对方针的管理职责；</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spacing w:line="360" w:lineRule="auto"/>
        <w:jc w:val="left"/>
        <w:rPr>
          <w:rFonts w:hint="eastAsia" w:ascii="宋体" w:hAnsi="宋体"/>
          <w:sz w:val="24"/>
          <w:highlight w:val="none"/>
        </w:rPr>
      </w:pPr>
      <w:r>
        <w:rPr>
          <w:rFonts w:hint="eastAsia" w:ascii="宋体" w:hAnsi="宋体"/>
          <w:sz w:val="24"/>
          <w:highlight w:val="none"/>
        </w:rPr>
        <w:t>5.</w:t>
      </w:r>
      <w:r>
        <w:rPr>
          <w:rFonts w:ascii="宋体" w:hAnsi="宋体"/>
          <w:sz w:val="24"/>
          <w:highlight w:val="none"/>
        </w:rPr>
        <w:t>2</w:t>
      </w: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2</w:t>
      </w:r>
      <w:r>
        <w:rPr>
          <w:rFonts w:ascii="宋体" w:hAnsi="宋体"/>
          <w:sz w:val="24"/>
          <w:highlight w:val="none"/>
        </w:rPr>
        <w:t>.</w:t>
      </w:r>
      <w:r>
        <w:rPr>
          <w:rFonts w:hint="eastAsia" w:ascii="宋体" w:hAnsi="宋体"/>
          <w:sz w:val="24"/>
          <w:highlight w:val="none"/>
        </w:rPr>
        <w:t>1信息技术服务管理体系还应包括：</w:t>
      </w:r>
    </w:p>
    <w:p>
      <w:pPr>
        <w:autoSpaceDE w:val="0"/>
        <w:autoSpaceDN w:val="0"/>
        <w:adjustRightInd w:val="0"/>
        <w:spacing w:line="360" w:lineRule="auto"/>
        <w:ind w:firstLine="480" w:firstLineChars="200"/>
        <w:rPr>
          <w:rFonts w:hint="eastAsia" w:ascii="宋体" w:hAnsi="宋体"/>
          <w:sz w:val="24"/>
          <w:highlight w:val="none"/>
        </w:rPr>
      </w:pPr>
      <w:r>
        <w:rPr>
          <w:rFonts w:hint="eastAsia" w:ascii="宋体" w:hAnsi="宋体"/>
          <w:sz w:val="24"/>
          <w:highlight w:val="none"/>
        </w:rPr>
        <w:t>审核组应要求申请客户证实其对信息技术服务管理过程的分析和组织运作实施了适当的控制措施，包括：</w:t>
      </w:r>
    </w:p>
    <w:p>
      <w:pPr>
        <w:autoSpaceDE w:val="0"/>
        <w:autoSpaceDN w:val="0"/>
        <w:adjustRightInd w:val="0"/>
        <w:spacing w:line="360" w:lineRule="auto"/>
        <w:ind w:firstLine="360" w:firstLineChars="150"/>
        <w:rPr>
          <w:rFonts w:hint="eastAsia" w:ascii="宋体" w:hAnsi="宋体"/>
          <w:sz w:val="24"/>
          <w:highlight w:val="none"/>
        </w:rPr>
      </w:pPr>
      <w:r>
        <w:rPr>
          <w:rFonts w:hint="eastAsia" w:ascii="宋体" w:hAnsi="宋体"/>
          <w:sz w:val="24"/>
          <w:highlight w:val="none"/>
        </w:rPr>
        <w:t>1）服务交付过程（服务级别管理、服务报告、服务连续性与可用性管理、信息技术服务的预算与核算、能力管理、信息安全管理）；</w:t>
      </w:r>
    </w:p>
    <w:p>
      <w:pPr>
        <w:autoSpaceDE w:val="0"/>
        <w:autoSpaceDN w:val="0"/>
        <w:adjustRightInd w:val="0"/>
        <w:spacing w:line="360" w:lineRule="auto"/>
        <w:ind w:firstLine="360" w:firstLineChars="150"/>
        <w:rPr>
          <w:rFonts w:hint="eastAsia" w:ascii="宋体" w:hAnsi="宋体"/>
          <w:sz w:val="24"/>
          <w:highlight w:val="none"/>
        </w:rPr>
      </w:pPr>
      <w:r>
        <w:rPr>
          <w:rFonts w:hint="eastAsia" w:ascii="宋体" w:hAnsi="宋体"/>
          <w:sz w:val="24"/>
          <w:highlight w:val="none"/>
        </w:rPr>
        <w:t>2）关系过程（业务关系管理、供方管理）；</w:t>
      </w:r>
    </w:p>
    <w:p>
      <w:pPr>
        <w:autoSpaceDE w:val="0"/>
        <w:autoSpaceDN w:val="0"/>
        <w:adjustRightInd w:val="0"/>
        <w:spacing w:line="360" w:lineRule="auto"/>
        <w:ind w:firstLine="360" w:firstLineChars="150"/>
        <w:rPr>
          <w:rFonts w:hint="eastAsia" w:ascii="宋体" w:hAnsi="宋体"/>
          <w:sz w:val="24"/>
          <w:highlight w:val="none"/>
        </w:rPr>
      </w:pPr>
      <w:r>
        <w:rPr>
          <w:rFonts w:hint="eastAsia" w:ascii="宋体" w:hAnsi="宋体"/>
          <w:sz w:val="24"/>
          <w:highlight w:val="none"/>
        </w:rPr>
        <w:t>3）处理过程（事件管理、问题管理）；</w:t>
      </w:r>
    </w:p>
    <w:p>
      <w:pPr>
        <w:autoSpaceDE w:val="0"/>
        <w:autoSpaceDN w:val="0"/>
        <w:adjustRightInd w:val="0"/>
        <w:spacing w:line="360" w:lineRule="auto"/>
        <w:ind w:firstLine="360" w:firstLineChars="150"/>
        <w:rPr>
          <w:rFonts w:hint="eastAsia" w:ascii="宋体" w:hAnsi="宋体"/>
          <w:sz w:val="24"/>
          <w:highlight w:val="none"/>
        </w:rPr>
      </w:pPr>
      <w:r>
        <w:rPr>
          <w:rFonts w:hint="eastAsia" w:ascii="宋体" w:hAnsi="宋体"/>
          <w:sz w:val="24"/>
          <w:highlight w:val="none"/>
        </w:rPr>
        <w:t>4）控制过程（配置管理、变更管理）；</w:t>
      </w:r>
    </w:p>
    <w:p>
      <w:pPr>
        <w:autoSpaceDE w:val="0"/>
        <w:autoSpaceDN w:val="0"/>
        <w:adjustRightInd w:val="0"/>
        <w:spacing w:line="360" w:lineRule="auto"/>
        <w:ind w:firstLine="360" w:firstLineChars="150"/>
        <w:rPr>
          <w:rFonts w:hint="eastAsia" w:ascii="宋体" w:hAnsi="宋体"/>
          <w:sz w:val="24"/>
          <w:highlight w:val="none"/>
        </w:rPr>
      </w:pPr>
      <w:r>
        <w:rPr>
          <w:rFonts w:hint="eastAsia" w:ascii="宋体" w:hAnsi="宋体"/>
          <w:sz w:val="24"/>
          <w:highlight w:val="none"/>
        </w:rPr>
        <w:t>5）发布和部署过程（发布、部署管理）。</w:t>
      </w:r>
    </w:p>
    <w:p>
      <w:pPr>
        <w:autoSpaceDE w:val="0"/>
        <w:autoSpaceDN w:val="0"/>
        <w:adjustRightInd w:val="0"/>
        <w:spacing w:line="360" w:lineRule="auto"/>
        <w:ind w:firstLine="360" w:firstLineChars="150"/>
        <w:rPr>
          <w:rFonts w:hint="eastAsia" w:ascii="宋体" w:hAnsi="宋体"/>
          <w:sz w:val="24"/>
          <w:highlight w:val="none"/>
        </w:rPr>
      </w:pPr>
      <w:r>
        <w:rPr>
          <w:rFonts w:hint="eastAsia" w:ascii="宋体" w:hAnsi="宋体"/>
          <w:sz w:val="24"/>
          <w:highlight w:val="none"/>
        </w:rPr>
        <w:t>6）识别和控制了其与参与信息技术服务管理体系活动的其他方在服务管理体系边界内的接口，知晓了来自于这些接口的、对服务管理体系和服务的风险，并实施了适当的控制措施。</w:t>
      </w:r>
    </w:p>
    <w:p>
      <w:pPr>
        <w:spacing w:line="360" w:lineRule="auto"/>
        <w:jc w:val="left"/>
        <w:rPr>
          <w:rFonts w:hint="eastAsia" w:ascii="宋体" w:hAnsi="宋体"/>
          <w:sz w:val="24"/>
          <w:highlight w:val="none"/>
        </w:rPr>
      </w:pPr>
      <w:r>
        <w:rPr>
          <w:rFonts w:hint="eastAsia" w:ascii="宋体" w:hAnsi="宋体"/>
          <w:sz w:val="24"/>
          <w:highlight w:val="none"/>
        </w:rPr>
        <w:t>5.</w:t>
      </w:r>
      <w:r>
        <w:rPr>
          <w:rFonts w:ascii="宋体" w:hAnsi="宋体"/>
          <w:sz w:val="24"/>
          <w:highlight w:val="none"/>
        </w:rPr>
        <w:t>2</w:t>
      </w: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2</w:t>
      </w:r>
      <w:r>
        <w:rPr>
          <w:rFonts w:ascii="宋体" w:hAnsi="宋体"/>
          <w:sz w:val="24"/>
          <w:highlight w:val="none"/>
        </w:rPr>
        <w:t>.</w:t>
      </w:r>
      <w:r>
        <w:rPr>
          <w:rFonts w:hint="eastAsia" w:ascii="宋体" w:hAnsi="宋体"/>
          <w:sz w:val="24"/>
          <w:highlight w:val="none"/>
        </w:rPr>
        <w:t>2信息安全管理体系还应包括：</w:t>
      </w:r>
    </w:p>
    <w:p>
      <w:pPr>
        <w:spacing w:line="360" w:lineRule="auto"/>
        <w:ind w:firstLine="360" w:firstLineChars="150"/>
        <w:jc w:val="left"/>
        <w:rPr>
          <w:rFonts w:hint="eastAsia" w:ascii="宋体" w:hAnsi="宋体"/>
          <w:sz w:val="24"/>
          <w:highlight w:val="none"/>
        </w:rPr>
      </w:pPr>
      <w:r>
        <w:rPr>
          <w:rFonts w:hint="eastAsia" w:ascii="宋体" w:hAnsi="宋体"/>
          <w:sz w:val="24"/>
          <w:highlight w:val="none"/>
        </w:rPr>
        <w:t>1）基于风险评估和风险处置过程，确定控制目标和控制；</w:t>
      </w:r>
    </w:p>
    <w:p>
      <w:pPr>
        <w:tabs>
          <w:tab w:val="left" w:pos="0"/>
        </w:tabs>
        <w:autoSpaceDE w:val="0"/>
        <w:autoSpaceDN w:val="0"/>
        <w:adjustRightInd w:val="0"/>
        <w:spacing w:line="360" w:lineRule="auto"/>
        <w:ind w:firstLine="360" w:firstLineChars="150"/>
        <w:rPr>
          <w:rFonts w:hint="eastAsia" w:ascii="宋体" w:hAnsi="宋体"/>
          <w:sz w:val="24"/>
          <w:highlight w:val="none"/>
        </w:rPr>
      </w:pPr>
      <w:r>
        <w:rPr>
          <w:rFonts w:hint="eastAsia" w:ascii="宋体" w:hAnsi="宋体"/>
          <w:sz w:val="24"/>
          <w:highlight w:val="none"/>
        </w:rPr>
        <w:t>2）所制确定的控制、适用性声明、风险评估和风险处置过程的、信息安全方针、信息安全目标之间的一致性；</w:t>
      </w:r>
    </w:p>
    <w:p>
      <w:pPr>
        <w:tabs>
          <w:tab w:val="left" w:pos="0"/>
        </w:tabs>
        <w:autoSpaceDE w:val="0"/>
        <w:autoSpaceDN w:val="0"/>
        <w:adjustRightInd w:val="0"/>
        <w:spacing w:line="360" w:lineRule="auto"/>
        <w:ind w:firstLine="360" w:firstLineChars="150"/>
        <w:rPr>
          <w:rFonts w:ascii="宋体" w:hAnsi="宋体"/>
          <w:sz w:val="24"/>
          <w:highlight w:val="none"/>
        </w:rPr>
      </w:pPr>
      <w:r>
        <w:rPr>
          <w:rFonts w:hint="eastAsia" w:ascii="宋体" w:hAnsi="宋体"/>
          <w:sz w:val="24"/>
          <w:highlight w:val="none"/>
        </w:rPr>
        <w:t>3）控制的实施（控制措施），考虑了外部环境、内部环境与相关的风险，以及组织对信息安全过程及控制措施的监视、测量与分析，以确定控制是否得以实施，有效并达到其所规定的目标。</w:t>
      </w:r>
    </w:p>
    <w:p>
      <w:pPr>
        <w:autoSpaceDE w:val="0"/>
        <w:autoSpaceDN w:val="0"/>
        <w:adjustRightInd w:val="0"/>
        <w:spacing w:line="360" w:lineRule="auto"/>
        <w:rPr>
          <w:rFonts w:hint="eastAsia" w:ascii="宋体" w:hAnsi="宋体"/>
          <w:b/>
          <w:bCs/>
          <w:sz w:val="24"/>
          <w:highlight w:val="none"/>
        </w:rPr>
      </w:pPr>
      <w:r>
        <w:rPr>
          <w:rFonts w:hint="eastAsia" w:ascii="宋体" w:hAnsi="宋体"/>
          <w:bCs/>
          <w:sz w:val="24"/>
          <w:highlight w:val="none"/>
        </w:rPr>
        <w:t>5.</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3</w:t>
      </w:r>
      <w:r>
        <w:rPr>
          <w:rFonts w:hint="eastAsia" w:ascii="宋体" w:hAnsi="宋体"/>
          <w:sz w:val="24"/>
          <w:highlight w:val="none"/>
        </w:rPr>
        <w:t>信息技术管理体系和信息安全管理体系与其他管理体系结合审核</w:t>
      </w:r>
    </w:p>
    <w:p>
      <w:pPr>
        <w:autoSpaceDE w:val="0"/>
        <w:autoSpaceDN w:val="0"/>
        <w:adjustRightInd w:val="0"/>
        <w:spacing w:line="360" w:lineRule="auto"/>
        <w:rPr>
          <w:rFonts w:hint="eastAsia" w:ascii="宋体" w:hAnsi="宋体"/>
          <w:sz w:val="24"/>
          <w:highlight w:val="none"/>
        </w:rPr>
      </w:pPr>
      <w:r>
        <w:rPr>
          <w:rFonts w:hint="eastAsia" w:ascii="宋体" w:hAnsi="宋体"/>
          <w:bCs/>
          <w:sz w:val="24"/>
          <w:highlight w:val="none"/>
        </w:rPr>
        <w:t>5.2.1.3.1</w:t>
      </w:r>
      <w:r>
        <w:rPr>
          <w:rFonts w:hint="eastAsia" w:ascii="宋体" w:hAnsi="宋体"/>
          <w:sz w:val="24"/>
          <w:highlight w:val="none"/>
        </w:rPr>
        <w:t>信息技术服务管理体系文件和信息安全管理体系文件与其他管理体系文件的整合</w:t>
      </w:r>
    </w:p>
    <w:p>
      <w:pPr>
        <w:autoSpaceDE w:val="0"/>
        <w:autoSpaceDN w:val="0"/>
        <w:adjustRightInd w:val="0"/>
        <w:spacing w:line="360" w:lineRule="auto"/>
        <w:ind w:firstLine="480" w:firstLineChars="200"/>
        <w:rPr>
          <w:rFonts w:hint="eastAsia" w:ascii="宋体" w:hAnsi="宋体"/>
          <w:sz w:val="24"/>
          <w:highlight w:val="none"/>
        </w:rPr>
      </w:pPr>
      <w:r>
        <w:rPr>
          <w:rFonts w:hint="eastAsia" w:ascii="宋体" w:hAnsi="宋体"/>
          <w:sz w:val="24"/>
          <w:highlight w:val="none"/>
        </w:rPr>
        <w:t>客户可将信息技术服务管理体系和信息安全管理体系文件的进行整合，也可将信息技术服务管理体系文件和（或）信息安全管理体系文件与其他管理体系文件（如：质量管理体系）整合。如果体系文件是结合的，应能清晰地识别出客户的信息技术服务管理和（或）信息安全管理体系。</w:t>
      </w:r>
    </w:p>
    <w:p>
      <w:pPr>
        <w:autoSpaceDE w:val="0"/>
        <w:autoSpaceDN w:val="0"/>
        <w:adjustRightInd w:val="0"/>
        <w:spacing w:line="360" w:lineRule="auto"/>
        <w:rPr>
          <w:rFonts w:hint="eastAsia" w:ascii="宋体" w:hAnsi="宋体"/>
          <w:sz w:val="24"/>
          <w:highlight w:val="none"/>
        </w:rPr>
      </w:pPr>
      <w:r>
        <w:rPr>
          <w:rFonts w:hint="eastAsia" w:ascii="宋体" w:hAnsi="宋体"/>
          <w:bCs/>
          <w:sz w:val="24"/>
          <w:highlight w:val="none"/>
        </w:rPr>
        <w:t xml:space="preserve">5.2.1.3.2 </w:t>
      </w:r>
      <w:r>
        <w:rPr>
          <w:rFonts w:hint="eastAsia" w:ascii="宋体" w:hAnsi="宋体"/>
          <w:sz w:val="24"/>
          <w:highlight w:val="none"/>
        </w:rPr>
        <w:t>管理体系结合审核</w:t>
      </w:r>
    </w:p>
    <w:p>
      <w:pPr>
        <w:autoSpaceDE w:val="0"/>
        <w:autoSpaceDN w:val="0"/>
        <w:adjustRightInd w:val="0"/>
        <w:spacing w:line="360" w:lineRule="auto"/>
        <w:ind w:left="420"/>
        <w:rPr>
          <w:rFonts w:hint="eastAsia" w:ascii="宋体" w:hAnsi="宋体"/>
          <w:sz w:val="24"/>
          <w:highlight w:val="none"/>
        </w:rPr>
      </w:pPr>
      <w:r>
        <w:rPr>
          <w:rFonts w:hint="eastAsia" w:ascii="宋体" w:hAnsi="宋体"/>
          <w:sz w:val="24"/>
          <w:highlight w:val="none"/>
        </w:rPr>
        <w:t>信息技术管理体系和信息安全管理体系与其他管理体系结合审核时，按以下管理要求执行：</w:t>
      </w:r>
    </w:p>
    <w:p>
      <w:pPr>
        <w:numPr>
          <w:ilvl w:val="0"/>
          <w:numId w:val="4"/>
        </w:numPr>
        <w:autoSpaceDE w:val="0"/>
        <w:autoSpaceDN w:val="0"/>
        <w:adjustRightInd w:val="0"/>
        <w:spacing w:line="360" w:lineRule="auto"/>
        <w:ind w:firstLine="6"/>
        <w:rPr>
          <w:rFonts w:hint="eastAsia" w:ascii="宋体" w:hAnsi="宋体"/>
          <w:sz w:val="24"/>
          <w:highlight w:val="none"/>
        </w:rPr>
      </w:pPr>
      <w:r>
        <w:rPr>
          <w:rFonts w:hint="eastAsia" w:ascii="宋体" w:hAnsi="宋体"/>
          <w:sz w:val="24"/>
          <w:highlight w:val="none"/>
        </w:rPr>
        <w:t>对各体系分别界定审核范围。对审核时间的确定、审核方案策划进行有效管理。</w:t>
      </w:r>
    </w:p>
    <w:p>
      <w:pPr>
        <w:numPr>
          <w:ilvl w:val="0"/>
          <w:numId w:val="4"/>
        </w:numPr>
        <w:autoSpaceDE w:val="0"/>
        <w:autoSpaceDN w:val="0"/>
        <w:adjustRightInd w:val="0"/>
        <w:spacing w:line="360" w:lineRule="auto"/>
        <w:ind w:firstLine="6"/>
        <w:rPr>
          <w:rFonts w:hint="eastAsia" w:ascii="宋体" w:hAnsi="宋体"/>
          <w:sz w:val="24"/>
          <w:highlight w:val="none"/>
        </w:rPr>
      </w:pPr>
      <w:r>
        <w:rPr>
          <w:rFonts w:hint="eastAsia" w:ascii="宋体" w:hAnsi="宋体"/>
          <w:sz w:val="24"/>
          <w:highlight w:val="none"/>
        </w:rPr>
        <w:t>必须以审核活动满足信息技术服务管理体系和信息安全管理体系认证所有要求为前提，并且审核质量不应由于结合审核而受到负面影响。在审核报告中应清晰体现所有与信息技术服务管理体系和信息安全管理体系有关的重要要素的描述。</w:t>
      </w:r>
    </w:p>
    <w:p>
      <w:pPr>
        <w:spacing w:line="360" w:lineRule="auto"/>
        <w:jc w:val="left"/>
        <w:rPr>
          <w:rFonts w:hint="eastAsia" w:ascii="宋体" w:hAnsi="宋体"/>
          <w:bCs/>
          <w:sz w:val="24"/>
          <w:highlight w:val="none"/>
        </w:rPr>
      </w:pPr>
      <w:r>
        <w:rPr>
          <w:rFonts w:hint="eastAsia" w:ascii="宋体" w:hAnsi="宋体"/>
          <w:bCs/>
          <w:sz w:val="24"/>
          <w:highlight w:val="none"/>
        </w:rPr>
        <w:t>5.</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bookmarkStart w:id="44" w:name="_Toc85103642"/>
      <w:bookmarkStart w:id="45" w:name="_Toc85105532"/>
      <w:bookmarkStart w:id="46" w:name="_Toc85256268"/>
      <w:r>
        <w:rPr>
          <w:rFonts w:hint="eastAsia" w:ascii="宋体" w:hAnsi="宋体"/>
          <w:bCs/>
          <w:sz w:val="24"/>
          <w:highlight w:val="none"/>
        </w:rPr>
        <w:t>5.</w:t>
      </w:r>
      <w:r>
        <w:rPr>
          <w:rFonts w:ascii="宋体" w:hAnsi="宋体"/>
          <w:bCs/>
          <w:sz w:val="24"/>
          <w:highlight w:val="none"/>
        </w:rPr>
        <w:t>2.2</w:t>
      </w:r>
      <w:r>
        <w:rPr>
          <w:rFonts w:hint="eastAsia" w:ascii="宋体" w:hAnsi="宋体"/>
          <w:bCs/>
          <w:sz w:val="24"/>
          <w:highlight w:val="none"/>
        </w:rPr>
        <w:t>.1 监督活动的方式</w:t>
      </w:r>
      <w:bookmarkEnd w:id="44"/>
      <w:bookmarkEnd w:id="45"/>
      <w:bookmarkEnd w:id="46"/>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如关注国家有关部门发布的质量信息公报、关注获证客户相关方的信息、获证客户有关信息的日常跟踪、审查获证客户及其运作的说明、要求获证客户提供文件和记录等）相结合的方式。</w:t>
      </w:r>
    </w:p>
    <w:p>
      <w:pPr>
        <w:spacing w:line="360" w:lineRule="auto"/>
        <w:rPr>
          <w:rFonts w:hint="eastAsia" w:ascii="宋体" w:hAnsi="宋体"/>
          <w:bCs/>
          <w:sz w:val="24"/>
          <w:highlight w:val="none"/>
        </w:rPr>
      </w:pPr>
      <w:bookmarkStart w:id="47" w:name="_Toc85256266"/>
      <w:bookmarkStart w:id="48" w:name="_Toc85103640"/>
      <w:bookmarkStart w:id="49" w:name="_Toc85105530"/>
      <w:r>
        <w:rPr>
          <w:rFonts w:hint="eastAsia" w:ascii="宋体" w:hAnsi="宋体"/>
          <w:bCs/>
          <w:sz w:val="24"/>
          <w:highlight w:val="none"/>
        </w:rPr>
        <w:t>5.</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47"/>
      <w:bookmarkEnd w:id="48"/>
      <w:bookmarkEnd w:id="49"/>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体系保持和任何变更情况（如资源、过程、组织结构、已识别的关键控制点等）；</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顾客投诉的情况；</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涉及变更的范围；</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内部审核和管理评审；</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信息技术服务管理体系审核服务目录（参与服务提供的其他方、服务点）的变化情况。信息安全管理体系审核《适用性声明》及版本的变化情况；</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管理体系实施的有效性；</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为持续改进而策划的活动的进展；</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针对上次审核中确定的不符合所采取的措施和效果；</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适当时，其他选定的范围。</w:t>
      </w:r>
    </w:p>
    <w:p>
      <w:pPr>
        <w:spacing w:line="360" w:lineRule="auto"/>
        <w:ind w:left="480"/>
        <w:rPr>
          <w:rFonts w:hint="eastAsia" w:ascii="宋体" w:hAnsi="宋体"/>
          <w:sz w:val="24"/>
          <w:highlight w:val="none"/>
        </w:rPr>
      </w:pPr>
      <w:r>
        <w:rPr>
          <w:rFonts w:hint="eastAsia" w:ascii="宋体" w:hAnsi="宋体"/>
          <w:sz w:val="24"/>
          <w:highlight w:val="none"/>
        </w:rPr>
        <w:t>获证客户应保存全部投诉记录，需要时提供认证机构。</w:t>
      </w:r>
    </w:p>
    <w:p>
      <w:pPr>
        <w:pStyle w:val="5"/>
        <w:spacing w:line="360" w:lineRule="auto"/>
        <w:ind w:firstLine="480"/>
        <w:rPr>
          <w:rFonts w:hint="eastAsia"/>
          <w:sz w:val="24"/>
          <w:szCs w:val="24"/>
          <w:highlight w:val="none"/>
          <w:lang w:eastAsia="zh-CN"/>
        </w:rPr>
      </w:pPr>
      <w:r>
        <w:rPr>
          <w:rFonts w:hint="eastAsia"/>
          <w:sz w:val="24"/>
          <w:szCs w:val="24"/>
          <w:highlight w:val="none"/>
        </w:rPr>
        <w:t>CQM根据以上</w:t>
      </w:r>
      <w:bookmarkStart w:id="50" w:name="_Toc33600432"/>
      <w:bookmarkStart w:id="51" w:name="_Toc33599598"/>
      <w:bookmarkStart w:id="52" w:name="_Toc33600388"/>
      <w:bookmarkStart w:id="53" w:name="_Toc33599725"/>
      <w:r>
        <w:rPr>
          <w:rFonts w:hint="eastAsia"/>
          <w:sz w:val="24"/>
          <w:szCs w:val="24"/>
          <w:highlight w:val="none"/>
        </w:rPr>
        <w:t>信息对获证客户管理体系进行再评价，确认其是否持续满足认证要求。</w:t>
      </w:r>
      <w:r>
        <w:rPr>
          <w:rFonts w:hint="eastAsia"/>
          <w:sz w:val="24"/>
          <w:szCs w:val="24"/>
          <w:highlight w:val="none"/>
          <w:lang w:eastAsia="zh-CN"/>
        </w:rPr>
        <w:t>对于监督审核合格的获证组织，作出保持其信息技术服务管理体系认证资格的决定；否则，应暂停、撤销其相应的认证资格。</w:t>
      </w:r>
    </w:p>
    <w:p>
      <w:pPr>
        <w:pStyle w:val="5"/>
        <w:spacing w:line="360" w:lineRule="auto"/>
        <w:ind w:firstLine="480"/>
        <w:rPr>
          <w:color w:val="0D0D0D"/>
          <w:sz w:val="24"/>
          <w:szCs w:val="24"/>
          <w:highlight w:val="none"/>
          <w:lang w:eastAsia="zh-CN"/>
        </w:rPr>
      </w:pPr>
      <w:r>
        <w:rPr>
          <w:rFonts w:hint="eastAsia"/>
          <w:color w:val="0D0D0D"/>
          <w:sz w:val="24"/>
          <w:szCs w:val="24"/>
          <w:highlight w:val="none"/>
          <w:lang w:eastAsia="zh-CN"/>
        </w:rPr>
        <w:t>监督审核时，如认证客户没有按要求关闭不符合，将可能导致认证证书的暂停。</w:t>
      </w:r>
    </w:p>
    <w:p>
      <w:pPr>
        <w:spacing w:line="360" w:lineRule="auto"/>
        <w:rPr>
          <w:rFonts w:hint="eastAsia" w:ascii="宋体" w:hAnsi="宋体"/>
          <w:bCs/>
          <w:sz w:val="24"/>
          <w:highlight w:val="none"/>
        </w:rPr>
      </w:pPr>
      <w:bookmarkStart w:id="54" w:name="_Toc85256267"/>
      <w:bookmarkStart w:id="55" w:name="_Toc85103641"/>
      <w:bookmarkStart w:id="56" w:name="_Toc85105531"/>
      <w:r>
        <w:rPr>
          <w:rFonts w:hint="eastAsia" w:ascii="宋体" w:hAnsi="宋体"/>
          <w:bCs/>
          <w:sz w:val="24"/>
          <w:highlight w:val="none"/>
        </w:rPr>
        <w:t>5.</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50"/>
      <w:bookmarkEnd w:id="51"/>
      <w:bookmarkEnd w:id="52"/>
      <w:bookmarkEnd w:id="53"/>
      <w:bookmarkEnd w:id="54"/>
      <w:bookmarkEnd w:id="55"/>
      <w:bookmarkEnd w:id="56"/>
    </w:p>
    <w:p>
      <w:pPr>
        <w:spacing w:line="360" w:lineRule="auto"/>
        <w:ind w:firstLine="480" w:firstLineChars="200"/>
        <w:rPr>
          <w:rFonts w:hint="eastAsia" w:ascii="宋体" w:hAnsi="宋体"/>
          <w:sz w:val="24"/>
          <w:highlight w:val="none"/>
        </w:rPr>
      </w:pPr>
      <w:r>
        <w:rPr>
          <w:rFonts w:hint="eastAsia" w:ascii="宋体" w:hAnsi="宋体"/>
          <w:sz w:val="24"/>
          <w:highlight w:val="none"/>
        </w:rPr>
        <w:t>在证书有效期内，获证客户须接受监督审核。CQM的信息安全管理体系至少每个日历年（应进行再认证的年份除外）进行一次监督审核，监督审核的最长时间间隔不超过12个月。初次认证和再认证后的第一次监督审核应从认证决定日期起</w:t>
      </w:r>
      <w:r>
        <w:rPr>
          <w:rFonts w:ascii="宋体" w:hAnsi="宋体" w:cs="Arial"/>
          <w:sz w:val="24"/>
          <w:highlight w:val="none"/>
        </w:rPr>
        <w:t>12</w:t>
      </w:r>
      <w:r>
        <w:rPr>
          <w:rFonts w:hint="eastAsia" w:ascii="宋体" w:hAnsi="宋体"/>
          <w:sz w:val="24"/>
          <w:highlight w:val="none"/>
        </w:rPr>
        <w:t>个月内进行；监督审核的最长时间间隔不超过 12 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信息技术服务管理体系认证/再认证后的第一次监督审核应从初次认证/再认证审核后的</w:t>
      </w:r>
      <w:r>
        <w:rPr>
          <w:rFonts w:ascii="宋体" w:hAnsi="宋体" w:cs="Arial"/>
          <w:sz w:val="24"/>
          <w:highlight w:val="none"/>
        </w:rPr>
        <w:t>12</w:t>
      </w:r>
      <w:r>
        <w:rPr>
          <w:rFonts w:hint="eastAsia" w:ascii="宋体" w:hAnsi="宋体"/>
          <w:sz w:val="24"/>
          <w:highlight w:val="none"/>
        </w:rPr>
        <w:t>个月内进行；</w:t>
      </w:r>
      <w:r>
        <w:rPr>
          <w:rFonts w:ascii="宋体" w:hAnsi="宋体"/>
          <w:sz w:val="24"/>
          <w:highlight w:val="none"/>
        </w:rPr>
        <w:t xml:space="preserve"> </w:t>
      </w:r>
      <w:r>
        <w:rPr>
          <w:rFonts w:hint="eastAsia" w:ascii="宋体" w:hAnsi="宋体"/>
          <w:sz w:val="24"/>
          <w:highlight w:val="none"/>
        </w:rPr>
        <w:t>第一个三年认证周期从初次认证证书颁发日算起，以后的周期从再认证证书颁发日算起。</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由于获证组织的（季节）业务特点及其内部审核安排等原因，可以合理选取和安排监督周期及时机，在认证证书有效期内的监督审核必须覆盖信息技术服务管理体系（或和信息安全管理体系）认证范围内的所有业务活动。</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6"/>
        </w:numPr>
        <w:spacing w:line="360" w:lineRule="auto"/>
        <w:rPr>
          <w:rFonts w:hint="eastAsia" w:ascii="宋体" w:hAnsi="宋体"/>
          <w:sz w:val="24"/>
          <w:highlight w:val="none"/>
        </w:rPr>
      </w:pPr>
      <w:r>
        <w:rPr>
          <w:rFonts w:hint="eastAsia" w:ascii="宋体" w:hAnsi="宋体"/>
          <w:sz w:val="24"/>
          <w:highlight w:val="none"/>
        </w:rPr>
        <w:t>获证客户对管理体系进行了重大更改或发生重大问题；</w:t>
      </w:r>
    </w:p>
    <w:p>
      <w:pPr>
        <w:pStyle w:val="5"/>
        <w:numPr>
          <w:ilvl w:val="0"/>
          <w:numId w:val="6"/>
        </w:numPr>
        <w:spacing w:line="360" w:lineRule="auto"/>
        <w:ind w:firstLineChars="0"/>
        <w:rPr>
          <w:rFonts w:hint="eastAsia"/>
          <w:sz w:val="24"/>
          <w:szCs w:val="24"/>
          <w:highlight w:val="none"/>
        </w:rPr>
      </w:pPr>
      <w:r>
        <w:rPr>
          <w:rFonts w:hint="eastAsia"/>
          <w:sz w:val="24"/>
          <w:szCs w:val="24"/>
          <w:highlight w:val="none"/>
        </w:rPr>
        <w:t>有足够信息表明获证客户发生了组织机构、</w:t>
      </w:r>
      <w:r>
        <w:rPr>
          <w:rFonts w:hint="eastAsia"/>
          <w:sz w:val="24"/>
          <w:szCs w:val="24"/>
          <w:highlight w:val="none"/>
          <w:lang w:eastAsia="zh-CN"/>
        </w:rPr>
        <w:t>服务</w:t>
      </w:r>
      <w:r>
        <w:rPr>
          <w:rFonts w:hint="eastAsia"/>
          <w:sz w:val="24"/>
          <w:szCs w:val="24"/>
          <w:highlight w:val="none"/>
        </w:rPr>
        <w:t>变更等影响到其认证基础的更改；</w:t>
      </w:r>
    </w:p>
    <w:p>
      <w:pPr>
        <w:pStyle w:val="5"/>
        <w:numPr>
          <w:ilvl w:val="0"/>
          <w:numId w:val="6"/>
        </w:numPr>
        <w:spacing w:line="360" w:lineRule="auto"/>
        <w:ind w:firstLineChars="0"/>
        <w:rPr>
          <w:rFonts w:hint="eastAsia"/>
          <w:sz w:val="24"/>
          <w:szCs w:val="24"/>
          <w:highlight w:val="none"/>
        </w:rPr>
      </w:pPr>
      <w:r>
        <w:rPr>
          <w:rFonts w:hint="eastAsia"/>
          <w:sz w:val="24"/>
          <w:szCs w:val="24"/>
          <w:highlight w:val="none"/>
        </w:rPr>
        <w:t>获证客户出现信息安全泄露事故或信息技术服务</w:t>
      </w:r>
      <w:r>
        <w:rPr>
          <w:rFonts w:hint="eastAsia"/>
          <w:sz w:val="24"/>
          <w:szCs w:val="24"/>
          <w:highlight w:val="none"/>
          <w:lang w:eastAsia="zh-CN"/>
        </w:rPr>
        <w:t>质量</w:t>
      </w:r>
      <w:r>
        <w:rPr>
          <w:rFonts w:hint="eastAsia"/>
          <w:sz w:val="24"/>
          <w:szCs w:val="24"/>
          <w:highlight w:val="none"/>
        </w:rPr>
        <w:t>事故或用户提出对相关管理体系运行效果的投诉未得到处理时；</w:t>
      </w:r>
    </w:p>
    <w:p>
      <w:pPr>
        <w:pStyle w:val="5"/>
        <w:numPr>
          <w:ilvl w:val="0"/>
          <w:numId w:val="6"/>
        </w:numPr>
        <w:spacing w:line="360" w:lineRule="auto"/>
        <w:ind w:firstLineChars="0"/>
        <w:rPr>
          <w:sz w:val="24"/>
          <w:szCs w:val="24"/>
          <w:highlight w:val="none"/>
        </w:rPr>
      </w:pPr>
      <w:r>
        <w:rPr>
          <w:rFonts w:hint="eastAsia"/>
          <w:sz w:val="24"/>
          <w:szCs w:val="24"/>
          <w:highlight w:val="none"/>
        </w:rPr>
        <w:t>其他需要考虑的情况。</w:t>
      </w:r>
      <w:bookmarkStart w:id="57" w:name="_Toc33600433"/>
      <w:bookmarkStart w:id="58" w:name="_Toc33600389"/>
      <w:bookmarkStart w:id="59" w:name="_Toc33599726"/>
      <w:bookmarkStart w:id="60" w:name="_Toc33599599"/>
    </w:p>
    <w:bookmarkEnd w:id="57"/>
    <w:bookmarkEnd w:id="58"/>
    <w:bookmarkEnd w:id="59"/>
    <w:bookmarkEnd w:id="60"/>
    <w:p>
      <w:pPr>
        <w:spacing w:line="360" w:lineRule="auto"/>
        <w:jc w:val="left"/>
        <w:rPr>
          <w:rFonts w:hint="eastAsia" w:ascii="宋体" w:hAnsi="宋体"/>
          <w:bCs/>
          <w:sz w:val="24"/>
          <w:highlight w:val="none"/>
        </w:rPr>
      </w:pPr>
      <w:r>
        <w:rPr>
          <w:rFonts w:hint="eastAsia" w:ascii="宋体" w:hAnsi="宋体"/>
          <w:bCs/>
          <w:sz w:val="24"/>
          <w:highlight w:val="none"/>
        </w:rPr>
        <w:t>5.</w:t>
      </w:r>
      <w:r>
        <w:rPr>
          <w:rFonts w:ascii="宋体" w:hAnsi="宋体"/>
          <w:bCs/>
          <w:sz w:val="24"/>
          <w:highlight w:val="none"/>
        </w:rPr>
        <w:t>2.3</w:t>
      </w:r>
      <w:r>
        <w:rPr>
          <w:rFonts w:hint="eastAsia" w:ascii="宋体" w:hAnsi="宋体"/>
          <w:bCs/>
          <w:sz w:val="24"/>
          <w:highlight w:val="none"/>
        </w:rPr>
        <w:t xml:space="preserve"> 再认证</w:t>
      </w:r>
    </w:p>
    <w:p>
      <w:pPr>
        <w:pStyle w:val="5"/>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5.2.1条实施。</w:t>
      </w:r>
    </w:p>
    <w:p>
      <w:pPr>
        <w:pStyle w:val="5"/>
        <w:spacing w:line="360" w:lineRule="auto"/>
        <w:ind w:firstLine="480"/>
        <w:rPr>
          <w:rFonts w:hint="eastAsia"/>
          <w:color w:val="auto"/>
          <w:sz w:val="24"/>
          <w:szCs w:val="24"/>
          <w:highlight w:val="none"/>
          <w:lang w:eastAsia="zh-CN"/>
        </w:rPr>
      </w:pPr>
      <w:r>
        <w:rPr>
          <w:rFonts w:hint="eastAsia"/>
          <w:color w:val="auto"/>
          <w:sz w:val="24"/>
          <w:szCs w:val="24"/>
          <w:highlight w:val="none"/>
        </w:rPr>
        <w:t>在对获证客户的日常监督中，发现获证客户的出现严重影响管理体系运作的重大变更时，或对获证客户的投诉分析和其他信息表明获证客户不再满足认证要求时，将安排特殊审核或与获证客户商定提前安排再认证审核。</w:t>
      </w:r>
    </w:p>
    <w:p>
      <w:pPr>
        <w:pStyle w:val="5"/>
        <w:spacing w:line="360" w:lineRule="auto"/>
        <w:ind w:firstLine="480"/>
        <w:rPr>
          <w:rFonts w:hint="eastAsia"/>
          <w:color w:val="auto"/>
          <w:sz w:val="24"/>
          <w:szCs w:val="24"/>
          <w:highlight w:val="none"/>
          <w:lang w:eastAsia="zh-CN"/>
        </w:rPr>
      </w:pPr>
      <w:r>
        <w:rPr>
          <w:rFonts w:hint="eastAsia"/>
          <w:color w:val="auto"/>
          <w:sz w:val="24"/>
          <w:szCs w:val="24"/>
          <w:highlight w:val="none"/>
          <w:lang w:eastAsia="zh-CN"/>
        </w:rPr>
        <w:t>再认证审核还需关注信息技术服务管理体系和信息安全管理体系在认证周期内的绩效，包括调阅以前的监督审核报告。</w:t>
      </w:r>
    </w:p>
    <w:p>
      <w:pPr>
        <w:pStyle w:val="5"/>
        <w:spacing w:line="360" w:lineRule="auto"/>
        <w:ind w:firstLine="480"/>
        <w:rPr>
          <w:rFonts w:hint="eastAsia"/>
          <w:color w:val="auto"/>
          <w:sz w:val="24"/>
          <w:szCs w:val="24"/>
          <w:highlight w:val="none"/>
          <w:lang w:eastAsia="zh-CN"/>
        </w:rPr>
      </w:pPr>
      <w:r>
        <w:rPr>
          <w:rFonts w:hint="eastAsia"/>
          <w:sz w:val="24"/>
          <w:szCs w:val="24"/>
          <w:highlight w:val="none"/>
        </w:rPr>
        <w:t>对于多场所或结合审核的认证，再认证审核应确保现场审核具有足够的覆盖范围，以提供对信息技术服务管理体系</w:t>
      </w:r>
      <w:r>
        <w:rPr>
          <w:rFonts w:hint="eastAsia"/>
          <w:sz w:val="24"/>
          <w:szCs w:val="24"/>
          <w:highlight w:val="none"/>
          <w:lang w:eastAsia="zh-CN"/>
        </w:rPr>
        <w:t>和信息安全管理体系</w:t>
      </w:r>
      <w:r>
        <w:rPr>
          <w:rFonts w:hint="eastAsia"/>
          <w:sz w:val="24"/>
          <w:szCs w:val="24"/>
          <w:highlight w:val="none"/>
        </w:rPr>
        <w:t>认证的信任。</w:t>
      </w:r>
    </w:p>
    <w:p>
      <w:pPr>
        <w:spacing w:line="360" w:lineRule="auto"/>
        <w:ind w:firstLine="480" w:firstLineChars="200"/>
        <w:rPr>
          <w:rFonts w:hint="eastAsia" w:ascii="宋体" w:hAnsi="宋体"/>
          <w:color w:val="0D0D0D"/>
          <w:sz w:val="24"/>
          <w:highlight w:val="none"/>
        </w:rPr>
      </w:pPr>
      <w:r>
        <w:rPr>
          <w:rFonts w:hint="eastAsia" w:ascii="宋体" w:hAnsi="宋体"/>
          <w:color w:val="0D0D0D"/>
          <w:sz w:val="24"/>
          <w:highlight w:val="none"/>
        </w:rPr>
        <w:t>再认证时通常可不进行一阶段审核，但当获证客户的管理体系和获证客户的内外部运作环境有重大变化时，再认证审核活动可能需要有第一阶段审核。</w:t>
      </w:r>
    </w:p>
    <w:p>
      <w:pPr>
        <w:spacing w:line="360" w:lineRule="auto"/>
        <w:ind w:firstLine="480" w:firstLineChars="200"/>
        <w:rPr>
          <w:rFonts w:hint="eastAsia" w:ascii="宋体" w:hAnsi="宋体"/>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hint="eastAsia" w:ascii="宋体" w:hAnsi="宋体"/>
          <w:bCs/>
          <w:sz w:val="24"/>
          <w:highlight w:val="none"/>
        </w:rPr>
      </w:pPr>
      <w:r>
        <w:rPr>
          <w:rFonts w:hint="eastAsia" w:ascii="宋体" w:hAnsi="宋体"/>
          <w:bCs/>
          <w:sz w:val="24"/>
          <w:highlight w:val="none"/>
        </w:rPr>
        <w:t>5</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ascii="宋体" w:hAnsi="宋体"/>
          <w:bCs/>
          <w:sz w:val="24"/>
          <w:highlight w:val="none"/>
        </w:rPr>
        <w:t xml:space="preserve">5.2.4.1 </w:t>
      </w:r>
      <w:r>
        <w:rPr>
          <w:rFonts w:hint="eastAsia" w:ascii="宋体" w:hAnsi="宋体"/>
          <w:bCs/>
          <w:sz w:val="24"/>
          <w:highlight w:val="none"/>
        </w:rPr>
        <w:t>扩大认证范围审核</w:t>
      </w:r>
    </w:p>
    <w:p>
      <w:pPr>
        <w:pStyle w:val="5"/>
        <w:spacing w:line="360" w:lineRule="auto"/>
        <w:ind w:firstLine="480"/>
        <w:rPr>
          <w:rFonts w:hint="eastAsia"/>
          <w:sz w:val="24"/>
          <w:szCs w:val="24"/>
          <w:highlight w:val="none"/>
          <w:lang w:val="en-GB"/>
        </w:rPr>
      </w:pPr>
      <w:r>
        <w:rPr>
          <w:rFonts w:hint="eastAsia"/>
          <w:sz w:val="24"/>
          <w:szCs w:val="24"/>
          <w:highlight w:val="none"/>
          <w:lang w:val="en-GB"/>
        </w:rPr>
        <w:t>针对已获证的客户，</w:t>
      </w:r>
      <w:r>
        <w:rPr>
          <w:rFonts w:hint="eastAsia"/>
          <w:sz w:val="24"/>
          <w:szCs w:val="24"/>
          <w:highlight w:val="none"/>
          <w:lang w:val="en-GB" w:eastAsia="zh-CN"/>
        </w:rPr>
        <w:t>CQM</w:t>
      </w:r>
      <w:r>
        <w:rPr>
          <w:rFonts w:hint="eastAsia"/>
          <w:sz w:val="24"/>
          <w:szCs w:val="24"/>
          <w:highlight w:val="none"/>
          <w:lang w:val="en-GB"/>
        </w:rPr>
        <w:t>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ascii="宋体" w:hAnsi="宋体"/>
          <w:bCs/>
          <w:sz w:val="24"/>
          <w:highlight w:val="none"/>
        </w:rPr>
        <w:t>5.2.4.2</w:t>
      </w:r>
      <w:r>
        <w:rPr>
          <w:rFonts w:hint="eastAsia" w:ascii="宋体" w:hAnsi="宋体"/>
          <w:bCs/>
          <w:sz w:val="24"/>
          <w:highlight w:val="none"/>
        </w:rPr>
        <w:t xml:space="preserve"> 提前较短时间通知的审核</w:t>
      </w:r>
    </w:p>
    <w:p>
      <w:pPr>
        <w:pStyle w:val="5"/>
        <w:spacing w:line="360" w:lineRule="auto"/>
        <w:ind w:firstLine="0" w:firstLineChars="0"/>
        <w:rPr>
          <w:rFonts w:hint="eastAsia"/>
          <w:sz w:val="24"/>
          <w:szCs w:val="24"/>
          <w:highlight w:val="none"/>
          <w:lang w:val="en-GB" w:eastAsia="zh-CN"/>
        </w:rPr>
      </w:pPr>
      <w:r>
        <w:rPr>
          <w:rFonts w:hint="eastAsia"/>
          <w:sz w:val="24"/>
          <w:szCs w:val="24"/>
          <w:highlight w:val="none"/>
          <w:lang w:val="en-GB"/>
        </w:rPr>
        <w:t xml:space="preserve">    为调查投诉、对变更做出回应或对被暂停的</w:t>
      </w:r>
      <w:r>
        <w:rPr>
          <w:rFonts w:hint="eastAsia"/>
          <w:sz w:val="24"/>
          <w:szCs w:val="24"/>
          <w:highlight w:val="none"/>
          <w:lang w:val="en-GB" w:eastAsia="zh-CN"/>
        </w:rPr>
        <w:t>认证客户</w:t>
      </w:r>
      <w:r>
        <w:rPr>
          <w:rFonts w:hint="eastAsia"/>
          <w:sz w:val="24"/>
          <w:szCs w:val="24"/>
          <w:highlight w:val="none"/>
          <w:lang w:val="en-GB"/>
        </w:rPr>
        <w:t>进行追踪，需要在提前较短时间通知获证客户后对其进行的审核。</w:t>
      </w:r>
    </w:p>
    <w:p>
      <w:pPr>
        <w:spacing w:line="360" w:lineRule="auto"/>
        <w:ind w:firstLine="360" w:firstLineChars="150"/>
        <w:rPr>
          <w:rFonts w:hint="eastAsia" w:ascii="宋体" w:hAnsi="宋体"/>
          <w:sz w:val="24"/>
          <w:highlight w:val="none"/>
        </w:rPr>
      </w:pPr>
      <w:r>
        <w:rPr>
          <w:rFonts w:hint="eastAsia" w:ascii="宋体" w:hAnsi="宋体"/>
          <w:sz w:val="24"/>
          <w:highlight w:val="none"/>
        </w:rPr>
        <w:t>1）向获证客户说明并使其提前了解将在何种条件下进行此类审核；</w:t>
      </w:r>
    </w:p>
    <w:p>
      <w:pPr>
        <w:pStyle w:val="5"/>
        <w:spacing w:line="360" w:lineRule="auto"/>
        <w:ind w:firstLine="360" w:firstLineChars="150"/>
        <w:rPr>
          <w:rFonts w:hint="eastAsia"/>
          <w:sz w:val="24"/>
          <w:szCs w:val="24"/>
          <w:highlight w:val="none"/>
          <w:lang w:eastAsia="zh-CN"/>
        </w:rPr>
      </w:pPr>
      <w:r>
        <w:rPr>
          <w:rFonts w:hint="eastAsia"/>
          <w:sz w:val="24"/>
          <w:szCs w:val="24"/>
          <w:highlight w:val="none"/>
        </w:rPr>
        <w:t>2）指派具有丰富经验的审核员组成审核组。</w:t>
      </w:r>
    </w:p>
    <w:p>
      <w:pPr>
        <w:pStyle w:val="3"/>
        <w:spacing w:before="0" w:after="0" w:line="360" w:lineRule="auto"/>
        <w:rPr>
          <w:rFonts w:hint="eastAsia" w:ascii="宋体" w:hAnsi="宋体" w:eastAsia="宋体"/>
          <w:sz w:val="24"/>
          <w:szCs w:val="24"/>
          <w:highlight w:val="none"/>
          <w:shd w:val="pct10" w:color="auto" w:fill="FFFFFF"/>
        </w:rPr>
      </w:pPr>
      <w:bookmarkStart w:id="61" w:name="_Toc185325629"/>
      <w:bookmarkStart w:id="62" w:name="_Toc444776334"/>
      <w:r>
        <w:rPr>
          <w:rFonts w:hint="eastAsia" w:ascii="宋体" w:hAnsi="宋体" w:eastAsia="宋体"/>
          <w:sz w:val="24"/>
          <w:szCs w:val="24"/>
          <w:highlight w:val="none"/>
        </w:rPr>
        <w:t>5.</w:t>
      </w:r>
      <w:r>
        <w:rPr>
          <w:rFonts w:ascii="宋体" w:hAnsi="宋体" w:eastAsia="宋体"/>
          <w:sz w:val="24"/>
          <w:szCs w:val="24"/>
          <w:highlight w:val="none"/>
        </w:rPr>
        <w:t>3</w:t>
      </w:r>
      <w:r>
        <w:rPr>
          <w:rFonts w:hint="eastAsia" w:ascii="宋体" w:hAnsi="宋体" w:eastAsia="宋体"/>
          <w:sz w:val="24"/>
          <w:szCs w:val="24"/>
          <w:highlight w:val="none"/>
        </w:rPr>
        <w:t xml:space="preserve"> 现场审核活动实施</w:t>
      </w:r>
      <w:bookmarkEnd w:id="61"/>
      <w:bookmarkEnd w:id="62"/>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服务形成过程和活动等适当方法，抽样收集并验证有关的信息，必要时，进行测试，形成审核发现，确认审核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spacing w:line="360" w:lineRule="auto"/>
        <w:ind w:firstLine="480"/>
        <w:jc w:val="left"/>
        <w:rPr>
          <w:rFonts w:hint="eastAsia" w:ascii="宋体" w:hAnsi="宋体"/>
          <w:sz w:val="24"/>
          <w:highlight w:val="none"/>
        </w:rPr>
      </w:pPr>
      <w:r>
        <w:rPr>
          <w:rFonts w:hint="eastAsia" w:ascii="宋体" w:hAnsi="宋体"/>
          <w:sz w:val="24"/>
          <w:highlight w:val="none"/>
        </w:rPr>
        <w:t>审核报告属CQM所有，如果在审核后续活动中（含CQM进行认证决定期间）有所更改，CQM将重新向受审核方提供审核报告。请受审核方妥善保管审核报告、不符合报告及其纠正材料等相应材料。</w:t>
      </w:r>
    </w:p>
    <w:p>
      <w:pPr>
        <w:spacing w:line="360" w:lineRule="auto"/>
        <w:ind w:firstLine="480"/>
        <w:jc w:val="left"/>
        <w:rPr>
          <w:rFonts w:hint="eastAsia" w:ascii="宋体" w:hAnsi="宋体"/>
          <w:sz w:val="24"/>
          <w:highlight w:val="none"/>
        </w:rPr>
      </w:pPr>
    </w:p>
    <w:p>
      <w:pPr>
        <w:pStyle w:val="2"/>
        <w:spacing w:line="360" w:lineRule="auto"/>
        <w:rPr>
          <w:rFonts w:ascii="宋体" w:hAnsi="宋体"/>
          <w:szCs w:val="24"/>
          <w:highlight w:val="none"/>
        </w:rPr>
      </w:pPr>
      <w:bookmarkStart w:id="63" w:name="_Toc85105515"/>
      <w:bookmarkStart w:id="64" w:name="_Toc85103626"/>
      <w:bookmarkStart w:id="65" w:name="_Toc85256251"/>
      <w:bookmarkStart w:id="66" w:name="_Toc444776335"/>
      <w:bookmarkStart w:id="67" w:name="_Toc185325630"/>
      <w:bookmarkStart w:id="68" w:name="_Toc33598964"/>
      <w:bookmarkStart w:id="69" w:name="_Toc33598533"/>
      <w:bookmarkStart w:id="70" w:name="_Toc33598904"/>
      <w:bookmarkStart w:id="71" w:name="_Toc33600413"/>
      <w:bookmarkStart w:id="72" w:name="_Toc33599706"/>
      <w:bookmarkStart w:id="73" w:name="_Toc33599579"/>
      <w:bookmarkStart w:id="74" w:name="_Toc33600364"/>
      <w:r>
        <w:rPr>
          <w:rFonts w:hint="eastAsia" w:ascii="宋体" w:hAnsi="宋体"/>
          <w:szCs w:val="24"/>
          <w:highlight w:val="none"/>
        </w:rPr>
        <w:t>6 认证的批准、</w:t>
      </w:r>
      <w:r>
        <w:rPr>
          <w:rFonts w:hint="eastAsia" w:ascii="宋体" w:hAnsi="宋体"/>
          <w:szCs w:val="24"/>
          <w:highlight w:val="none"/>
          <w:lang w:eastAsia="zh-CN"/>
        </w:rPr>
        <w:t>拒绝、</w:t>
      </w:r>
      <w:r>
        <w:rPr>
          <w:rFonts w:hint="eastAsia" w:ascii="宋体" w:hAnsi="宋体"/>
          <w:szCs w:val="24"/>
          <w:highlight w:val="none"/>
        </w:rPr>
        <w:t>保持、扩大、缩小、暂停、恢复和撤销的条件</w:t>
      </w:r>
      <w:bookmarkEnd w:id="63"/>
      <w:bookmarkEnd w:id="64"/>
      <w:bookmarkEnd w:id="65"/>
      <w:r>
        <w:rPr>
          <w:rFonts w:hint="eastAsia" w:ascii="宋体" w:hAnsi="宋体"/>
          <w:szCs w:val="24"/>
          <w:highlight w:val="none"/>
        </w:rPr>
        <w:t>和程序</w:t>
      </w:r>
      <w:bookmarkEnd w:id="66"/>
      <w:bookmarkEnd w:id="67"/>
    </w:p>
    <w:p>
      <w:pPr>
        <w:pStyle w:val="3"/>
        <w:spacing w:before="0" w:after="0" w:line="360" w:lineRule="auto"/>
        <w:rPr>
          <w:rFonts w:hint="eastAsia" w:ascii="宋体" w:hAnsi="宋体" w:eastAsia="宋体"/>
          <w:sz w:val="24"/>
          <w:szCs w:val="24"/>
          <w:highlight w:val="none"/>
        </w:rPr>
      </w:pPr>
      <w:bookmarkStart w:id="75" w:name="_Toc185325631"/>
      <w:bookmarkStart w:id="76" w:name="_Toc85103627"/>
      <w:bookmarkStart w:id="77" w:name="_Toc85256252"/>
      <w:bookmarkStart w:id="78" w:name="_Toc85105516"/>
      <w:bookmarkStart w:id="79" w:name="_Toc444776336"/>
      <w:r>
        <w:rPr>
          <w:rFonts w:hint="eastAsia" w:ascii="宋体" w:hAnsi="宋体" w:eastAsia="宋体"/>
          <w:sz w:val="24"/>
          <w:szCs w:val="24"/>
          <w:highlight w:val="none"/>
        </w:rPr>
        <w:t xml:space="preserve">6.1 </w:t>
      </w:r>
      <w:bookmarkEnd w:id="75"/>
      <w:bookmarkEnd w:id="76"/>
      <w:bookmarkEnd w:id="77"/>
      <w:bookmarkEnd w:id="78"/>
      <w:r>
        <w:rPr>
          <w:rFonts w:hint="eastAsia" w:ascii="宋体" w:hAnsi="宋体" w:eastAsia="宋体"/>
          <w:sz w:val="24"/>
          <w:szCs w:val="24"/>
          <w:highlight w:val="none"/>
        </w:rPr>
        <w:t>批准认证</w:t>
      </w:r>
      <w:r>
        <w:rPr>
          <w:rFonts w:hint="eastAsia" w:ascii="宋体" w:hAnsi="宋体" w:eastAsia="宋体"/>
          <w:sz w:val="24"/>
          <w:szCs w:val="24"/>
          <w:highlight w:val="none"/>
          <w:lang w:eastAsia="zh-CN"/>
        </w:rPr>
        <w:t>范围</w:t>
      </w:r>
      <w:r>
        <w:rPr>
          <w:rFonts w:hint="eastAsia" w:ascii="宋体" w:hAnsi="宋体" w:eastAsia="宋体"/>
          <w:sz w:val="24"/>
          <w:szCs w:val="24"/>
          <w:highlight w:val="none"/>
        </w:rPr>
        <w:t>的条件和程序</w:t>
      </w:r>
      <w:bookmarkEnd w:id="79"/>
    </w:p>
    <w:p>
      <w:pPr>
        <w:spacing w:line="360" w:lineRule="auto"/>
        <w:rPr>
          <w:rFonts w:hint="eastAsia" w:ascii="宋体" w:hAnsi="宋体"/>
          <w:bCs/>
          <w:sz w:val="24"/>
          <w:highlight w:val="none"/>
        </w:rPr>
      </w:pPr>
      <w:r>
        <w:rPr>
          <w:rFonts w:hint="eastAsia" w:ascii="宋体" w:hAnsi="宋体"/>
          <w:bCs/>
          <w:sz w:val="24"/>
          <w:highlight w:val="none"/>
        </w:rPr>
        <w:t>6.1.1 批准认证注册的条件</w:t>
      </w:r>
    </w:p>
    <w:p>
      <w:pPr>
        <w:numPr>
          <w:ilvl w:val="0"/>
          <w:numId w:val="7"/>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7"/>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7"/>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认证客户申请认证范围在法律地位文件和资质规定的范围内；</w:t>
      </w:r>
    </w:p>
    <w:p>
      <w:pPr>
        <w:numPr>
          <w:ilvl w:val="0"/>
          <w:numId w:val="7"/>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国家或地方或行业有要求时，认证客户申请认证范围内的组织单元、服务及其过程和活动已满足适用的法律法规的要求；</w:t>
      </w:r>
    </w:p>
    <w:p>
      <w:pPr>
        <w:numPr>
          <w:ilvl w:val="0"/>
          <w:numId w:val="7"/>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7"/>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7"/>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至少近一年来，认证客户申请认证范围内未发生信息安全泄露事故或信息技术服务事故或国家检查不合格；</w:t>
      </w:r>
    </w:p>
    <w:p>
      <w:pPr>
        <w:numPr>
          <w:ilvl w:val="0"/>
          <w:numId w:val="7"/>
        </w:numPr>
        <w:adjustRightInd w:val="0"/>
        <w:snapToGrid w:val="0"/>
        <w:spacing w:line="360" w:lineRule="auto"/>
        <w:rPr>
          <w:rFonts w:hint="eastAsia"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hint="eastAsia" w:ascii="宋体" w:hAnsi="宋体"/>
          <w:bCs/>
          <w:sz w:val="24"/>
          <w:highlight w:val="none"/>
        </w:rPr>
      </w:pPr>
      <w:bookmarkStart w:id="80" w:name="_Toc85103628"/>
      <w:bookmarkStart w:id="81" w:name="_Toc85256253"/>
      <w:bookmarkStart w:id="82" w:name="_Toc85105517"/>
      <w:r>
        <w:rPr>
          <w:rFonts w:hint="eastAsia" w:ascii="宋体" w:hAnsi="宋体"/>
          <w:bCs/>
          <w:sz w:val="24"/>
          <w:highlight w:val="none"/>
        </w:rPr>
        <w:t>6.1.2 批准认证</w:t>
      </w:r>
      <w:bookmarkEnd w:id="80"/>
      <w:bookmarkEnd w:id="81"/>
      <w:bookmarkEnd w:id="82"/>
      <w:r>
        <w:rPr>
          <w:rFonts w:hint="eastAsia" w:ascii="宋体" w:hAnsi="宋体"/>
          <w:bCs/>
          <w:sz w:val="24"/>
          <w:highlight w:val="none"/>
        </w:rPr>
        <w:t>资格的程序</w:t>
      </w:r>
    </w:p>
    <w:p>
      <w:pPr>
        <w:numPr>
          <w:ilvl w:val="0"/>
          <w:numId w:val="8"/>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8"/>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8"/>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8"/>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满足6.1.1批准认证资格的条件，经CQM审定，认为认证客户在认证范围内已满足批准认证资格的条件，同意批准认证；</w:t>
      </w:r>
    </w:p>
    <w:p>
      <w:pPr>
        <w:numPr>
          <w:ilvl w:val="0"/>
          <w:numId w:val="8"/>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pStyle w:val="3"/>
        <w:spacing w:before="0" w:after="0" w:line="360" w:lineRule="auto"/>
        <w:rPr>
          <w:rFonts w:hint="eastAsia" w:ascii="宋体" w:hAnsi="宋体" w:eastAsia="宋体"/>
          <w:sz w:val="24"/>
          <w:szCs w:val="24"/>
          <w:highlight w:val="none"/>
        </w:rPr>
      </w:pPr>
      <w:bookmarkStart w:id="83" w:name="_Toc444776337"/>
      <w:r>
        <w:rPr>
          <w:rFonts w:hint="eastAsia" w:ascii="宋体" w:hAnsi="宋体" w:eastAsia="宋体"/>
          <w:sz w:val="24"/>
          <w:szCs w:val="24"/>
          <w:highlight w:val="none"/>
        </w:rPr>
        <w:t xml:space="preserve">6.2 </w:t>
      </w:r>
      <w:r>
        <w:rPr>
          <w:rFonts w:hint="eastAsia" w:ascii="宋体" w:hAnsi="宋体" w:eastAsia="宋体"/>
          <w:sz w:val="24"/>
          <w:szCs w:val="24"/>
          <w:highlight w:val="none"/>
          <w:lang w:eastAsia="zh-CN"/>
        </w:rPr>
        <w:t>拒绝</w:t>
      </w:r>
      <w:r>
        <w:rPr>
          <w:rFonts w:hint="eastAsia" w:ascii="宋体" w:hAnsi="宋体" w:eastAsia="宋体"/>
          <w:sz w:val="24"/>
          <w:szCs w:val="24"/>
          <w:highlight w:val="none"/>
        </w:rPr>
        <w:t>认证</w:t>
      </w:r>
      <w:r>
        <w:rPr>
          <w:rFonts w:hint="eastAsia" w:ascii="宋体" w:hAnsi="宋体" w:eastAsia="宋体"/>
          <w:sz w:val="24"/>
          <w:szCs w:val="24"/>
          <w:highlight w:val="none"/>
          <w:lang w:eastAsia="zh-CN"/>
        </w:rPr>
        <w:t>注册</w:t>
      </w:r>
      <w:r>
        <w:rPr>
          <w:rFonts w:hint="eastAsia" w:ascii="宋体" w:hAnsi="宋体" w:eastAsia="宋体"/>
          <w:sz w:val="24"/>
          <w:szCs w:val="24"/>
          <w:highlight w:val="none"/>
        </w:rPr>
        <w:t>的条件和程序</w:t>
      </w:r>
      <w:bookmarkEnd w:id="83"/>
    </w:p>
    <w:p>
      <w:pPr>
        <w:spacing w:line="360" w:lineRule="auto"/>
        <w:rPr>
          <w:rFonts w:hint="eastAsia" w:ascii="宋体" w:hAnsi="宋体"/>
          <w:bCs/>
          <w:sz w:val="24"/>
          <w:highlight w:val="none"/>
        </w:rPr>
      </w:pPr>
      <w:r>
        <w:rPr>
          <w:rFonts w:hint="eastAsia" w:ascii="宋体" w:hAnsi="宋体"/>
          <w:bCs/>
          <w:sz w:val="24"/>
          <w:highlight w:val="none"/>
        </w:rPr>
        <w:t>6.2.1 拒绝认证资格的条件</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r>
        <w:rPr>
          <w:rFonts w:ascii="宋体" w:hAnsi="宋体"/>
          <w:sz w:val="24"/>
          <w:highlight w:val="none"/>
        </w:rPr>
        <w:t xml:space="preserve"> </w:t>
      </w:r>
    </w:p>
    <w:p>
      <w:pPr>
        <w:numPr>
          <w:ilvl w:val="0"/>
          <w:numId w:val="9"/>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9"/>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9"/>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9"/>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除以上情况外，CQM的审定结论为不予认证注册。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rPr>
        <w:t>6.2.2 拒绝认证注册的程序</w:t>
      </w:r>
    </w:p>
    <w:p>
      <w:pPr>
        <w:pStyle w:val="7"/>
        <w:numPr>
          <w:ilvl w:val="1"/>
          <w:numId w:val="8"/>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iCs/>
          <w:sz w:val="24"/>
          <w:highlight w:val="none"/>
          <w:lang w:eastAsia="zh-CN"/>
        </w:rPr>
        <w:t>符合</w:t>
      </w:r>
      <w:r>
        <w:rPr>
          <w:rFonts w:hint="eastAsia" w:ascii="宋体" w:hAnsi="宋体"/>
          <w:iCs/>
          <w:sz w:val="24"/>
          <w:highlight w:val="none"/>
        </w:rPr>
        <w:t>6.2.1条件</w:t>
      </w:r>
      <w:r>
        <w:rPr>
          <w:rFonts w:hint="eastAsia" w:ascii="宋体" w:hAnsi="宋体"/>
          <w:iCs/>
          <w:sz w:val="24"/>
          <w:highlight w:val="none"/>
          <w:lang w:eastAsia="zh-CN"/>
        </w:rPr>
        <w:t>之一</w:t>
      </w:r>
      <w:r>
        <w:rPr>
          <w:rFonts w:hint="eastAsia" w:ascii="宋体" w:hAnsi="宋体"/>
          <w:iCs/>
          <w:sz w:val="24"/>
          <w:highlight w:val="none"/>
        </w:rPr>
        <w:t>，</w:t>
      </w:r>
      <w:r>
        <w:rPr>
          <w:rFonts w:hint="eastAsia" w:ascii="宋体" w:hAnsi="宋体"/>
          <w:iCs/>
          <w:sz w:val="24"/>
          <w:highlight w:val="none"/>
          <w:lang w:eastAsia="zh-CN"/>
        </w:rPr>
        <w:t>经CQM</w:t>
      </w:r>
      <w:r>
        <w:rPr>
          <w:rFonts w:hint="eastAsia" w:ascii="宋体" w:hAnsi="宋体"/>
          <w:sz w:val="24"/>
          <w:highlight w:val="none"/>
        </w:rPr>
        <w:t>评审</w:t>
      </w:r>
      <w:r>
        <w:rPr>
          <w:rFonts w:hint="eastAsia" w:ascii="宋体" w:hAnsi="宋体"/>
          <w:sz w:val="24"/>
          <w:highlight w:val="none"/>
          <w:lang w:eastAsia="zh-CN"/>
        </w:rPr>
        <w:t>为</w:t>
      </w:r>
      <w:r>
        <w:rPr>
          <w:rFonts w:hint="eastAsia" w:ascii="宋体" w:hAnsi="宋体"/>
          <w:sz w:val="24"/>
          <w:highlight w:val="none"/>
        </w:rPr>
        <w:t>不予受理</w:t>
      </w:r>
      <w:r>
        <w:rPr>
          <w:rFonts w:hint="eastAsia" w:ascii="宋体" w:hAnsi="宋体"/>
          <w:sz w:val="24"/>
          <w:highlight w:val="none"/>
          <w:lang w:eastAsia="zh-CN"/>
        </w:rPr>
        <w:t>认证或认证</w:t>
      </w:r>
      <w:r>
        <w:rPr>
          <w:rFonts w:hint="eastAsia" w:ascii="宋体" w:hAnsi="宋体"/>
          <w:sz w:val="24"/>
          <w:highlight w:val="none"/>
        </w:rPr>
        <w:t>客户的管理体系不满足批准认证资格条件</w:t>
      </w:r>
      <w:r>
        <w:rPr>
          <w:rFonts w:hint="eastAsia" w:ascii="宋体" w:hAnsi="宋体"/>
          <w:color w:val="000000"/>
          <w:sz w:val="24"/>
          <w:highlight w:val="none"/>
        </w:rPr>
        <w:t>；</w:t>
      </w:r>
      <w:r>
        <w:rPr>
          <w:rFonts w:hint="eastAsia" w:ascii="宋体" w:hAnsi="宋体"/>
          <w:bCs/>
          <w:iCs/>
          <w:sz w:val="24"/>
          <w:highlight w:val="none"/>
        </w:rPr>
        <w:t xml:space="preserve"> </w:t>
      </w:r>
    </w:p>
    <w:p>
      <w:pPr>
        <w:pStyle w:val="7"/>
        <w:numPr>
          <w:ilvl w:val="1"/>
          <w:numId w:val="8"/>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pStyle w:val="3"/>
        <w:spacing w:before="0" w:after="0" w:line="360" w:lineRule="auto"/>
        <w:rPr>
          <w:rFonts w:hint="eastAsia" w:ascii="宋体" w:hAnsi="宋体" w:eastAsia="宋体"/>
          <w:sz w:val="24"/>
          <w:szCs w:val="24"/>
          <w:highlight w:val="none"/>
        </w:rPr>
      </w:pPr>
      <w:bookmarkStart w:id="84" w:name="_Toc85105518"/>
      <w:bookmarkStart w:id="85" w:name="_Toc85103629"/>
      <w:bookmarkStart w:id="86" w:name="_Toc85256254"/>
      <w:bookmarkStart w:id="87" w:name="_Toc444776338"/>
      <w:bookmarkStart w:id="88" w:name="_Toc185325632"/>
      <w:r>
        <w:rPr>
          <w:rFonts w:hint="eastAsia" w:ascii="宋体" w:hAnsi="宋体" w:eastAsia="宋体"/>
          <w:sz w:val="24"/>
          <w:szCs w:val="24"/>
          <w:highlight w:val="none"/>
        </w:rPr>
        <w:t>6.</w:t>
      </w:r>
      <w:r>
        <w:rPr>
          <w:rFonts w:hint="eastAsia" w:ascii="宋体" w:hAnsi="宋体" w:eastAsia="宋体"/>
          <w:sz w:val="24"/>
          <w:szCs w:val="24"/>
          <w:highlight w:val="none"/>
          <w:lang w:eastAsia="zh-CN"/>
        </w:rPr>
        <w:t>3</w:t>
      </w:r>
      <w:r>
        <w:rPr>
          <w:rFonts w:hint="eastAsia" w:ascii="宋体" w:hAnsi="宋体" w:eastAsia="宋体"/>
          <w:sz w:val="24"/>
          <w:szCs w:val="24"/>
          <w:highlight w:val="none"/>
        </w:rPr>
        <w:t xml:space="preserve"> 保持认证资格的条件</w:t>
      </w:r>
      <w:bookmarkEnd w:id="84"/>
      <w:bookmarkEnd w:id="85"/>
      <w:bookmarkEnd w:id="86"/>
      <w:r>
        <w:rPr>
          <w:rFonts w:hint="eastAsia" w:ascii="宋体" w:hAnsi="宋体" w:eastAsia="宋体"/>
          <w:sz w:val="24"/>
          <w:szCs w:val="24"/>
          <w:highlight w:val="none"/>
        </w:rPr>
        <w:t>和程序</w:t>
      </w:r>
      <w:bookmarkEnd w:id="87"/>
      <w:bookmarkEnd w:id="88"/>
    </w:p>
    <w:p>
      <w:pPr>
        <w:spacing w:line="360" w:lineRule="auto"/>
        <w:rPr>
          <w:rFonts w:hint="eastAsia" w:ascii="宋体" w:hAnsi="宋体"/>
          <w:bCs/>
          <w:sz w:val="24"/>
          <w:highlight w:val="none"/>
        </w:rPr>
      </w:pPr>
      <w:r>
        <w:rPr>
          <w:rFonts w:hint="eastAsia" w:ascii="宋体" w:hAnsi="宋体"/>
          <w:bCs/>
          <w:sz w:val="24"/>
          <w:highlight w:val="none"/>
        </w:rPr>
        <w:t>6.3.1 保持认证资格的条件</w:t>
      </w:r>
    </w:p>
    <w:p>
      <w:pPr>
        <w:numPr>
          <w:ilvl w:val="0"/>
          <w:numId w:val="10"/>
        </w:numPr>
        <w:tabs>
          <w:tab w:val="left" w:pos="720"/>
        </w:tabs>
        <w:spacing w:line="360" w:lineRule="auto"/>
        <w:ind w:left="709" w:hanging="349"/>
        <w:rPr>
          <w:rFonts w:hint="eastAsia"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获证客户在认证范围内的组织单元、服务及其过程和活动持续满足适用的最新法律法规的要求，如发生不满足时及时采取有效的措施；</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获证客户于获证期内，认证范围内涉及的服务/活动未发生重大事故和国家检查不合格；</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10"/>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rPr>
        <w:t>6.3.2 保持认证资格的程序</w:t>
      </w:r>
    </w:p>
    <w:p>
      <w:pPr>
        <w:numPr>
          <w:ilvl w:val="0"/>
          <w:numId w:val="11"/>
        </w:numPr>
        <w:tabs>
          <w:tab w:val="left" w:pos="720"/>
          <w:tab w:val="clear" w:pos="1050"/>
        </w:tabs>
        <w:spacing w:line="360" w:lineRule="auto"/>
        <w:ind w:left="709" w:hanging="349"/>
        <w:rPr>
          <w:rFonts w:hint="eastAsia" w:ascii="宋体" w:hAnsi="宋体"/>
          <w:sz w:val="24"/>
          <w:highlight w:val="none"/>
        </w:rPr>
      </w:pPr>
      <w:r>
        <w:rPr>
          <w:rFonts w:hint="eastAsia" w:ascii="宋体" w:hAnsi="宋体"/>
          <w:sz w:val="24"/>
          <w:highlight w:val="none"/>
        </w:rPr>
        <w:t xml:space="preserve">满足6.3.1保持认证资格的条件，监督审核后，经CQM派出的审核组长确认和CQM审查后认为获证客户在认证范围内能持续满足保持认证资格的条件，同意保持认证资格，由CQM签发确认证书并向获证客户发放；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1"/>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pStyle w:val="3"/>
        <w:spacing w:before="0" w:after="0" w:line="360" w:lineRule="auto"/>
        <w:rPr>
          <w:rFonts w:hint="eastAsia" w:ascii="宋体" w:hAnsi="宋体" w:eastAsia="宋体"/>
          <w:sz w:val="24"/>
          <w:szCs w:val="24"/>
          <w:highlight w:val="none"/>
          <w:lang w:eastAsia="zh-CN"/>
        </w:rPr>
      </w:pPr>
      <w:bookmarkStart w:id="89" w:name="_Toc85103630"/>
      <w:bookmarkStart w:id="90" w:name="_Toc85105519"/>
      <w:bookmarkStart w:id="91" w:name="_Toc85256255"/>
      <w:bookmarkStart w:id="92" w:name="_Toc444776339"/>
      <w:bookmarkStart w:id="93" w:name="_Toc185325633"/>
      <w:r>
        <w:rPr>
          <w:rFonts w:hint="eastAsia" w:ascii="宋体" w:hAnsi="宋体" w:eastAsia="宋体"/>
          <w:sz w:val="24"/>
          <w:szCs w:val="24"/>
          <w:highlight w:val="none"/>
        </w:rPr>
        <w:t>6</w:t>
      </w:r>
      <w:r>
        <w:rPr>
          <w:rFonts w:ascii="宋体" w:hAnsi="宋体" w:eastAsia="宋体"/>
          <w:sz w:val="24"/>
          <w:szCs w:val="24"/>
          <w:highlight w:val="none"/>
        </w:rPr>
        <w:t>.</w:t>
      </w:r>
      <w:r>
        <w:rPr>
          <w:rFonts w:hint="eastAsia" w:ascii="宋体" w:hAnsi="宋体" w:eastAsia="宋体"/>
          <w:sz w:val="24"/>
          <w:szCs w:val="24"/>
          <w:highlight w:val="none"/>
          <w:lang w:eastAsia="zh-CN"/>
        </w:rPr>
        <w:t>4</w:t>
      </w:r>
      <w:r>
        <w:rPr>
          <w:rFonts w:hint="eastAsia" w:ascii="宋体" w:hAnsi="宋体" w:eastAsia="宋体"/>
          <w:sz w:val="24"/>
          <w:szCs w:val="24"/>
          <w:highlight w:val="none"/>
        </w:rPr>
        <w:t xml:space="preserve"> 扩大认证范围的条件</w:t>
      </w:r>
      <w:bookmarkEnd w:id="89"/>
      <w:bookmarkEnd w:id="90"/>
      <w:bookmarkEnd w:id="91"/>
      <w:r>
        <w:rPr>
          <w:rFonts w:hint="eastAsia" w:ascii="宋体" w:hAnsi="宋体" w:eastAsia="宋体"/>
          <w:sz w:val="24"/>
          <w:szCs w:val="24"/>
          <w:highlight w:val="none"/>
        </w:rPr>
        <w:t>和程序</w:t>
      </w:r>
      <w:bookmarkEnd w:id="92"/>
      <w:bookmarkEnd w:id="93"/>
    </w:p>
    <w:p>
      <w:pPr>
        <w:spacing w:line="360" w:lineRule="auto"/>
        <w:rPr>
          <w:rFonts w:hint="eastAsia" w:ascii="宋体" w:hAnsi="宋体"/>
          <w:bCs/>
          <w:sz w:val="24"/>
          <w:highlight w:val="none"/>
        </w:rPr>
      </w:pPr>
      <w:r>
        <w:rPr>
          <w:rFonts w:hint="eastAsia" w:ascii="宋体" w:hAnsi="宋体"/>
          <w:bCs/>
          <w:sz w:val="24"/>
          <w:highlight w:val="none"/>
        </w:rPr>
        <w:t>6.4.1 扩大认证范围的分类</w:t>
      </w:r>
    </w:p>
    <w:p>
      <w:pPr>
        <w:numPr>
          <w:ilvl w:val="0"/>
          <w:numId w:val="12"/>
        </w:numPr>
        <w:spacing w:line="360" w:lineRule="auto"/>
        <w:rPr>
          <w:rFonts w:ascii="宋体" w:hAnsi="宋体"/>
          <w:sz w:val="24"/>
          <w:highlight w:val="none"/>
        </w:rPr>
      </w:pPr>
      <w:r>
        <w:rPr>
          <w:rFonts w:hint="eastAsia" w:ascii="宋体" w:hAnsi="宋体"/>
          <w:sz w:val="24"/>
          <w:highlight w:val="none"/>
        </w:rPr>
        <w:t>获证客户名称增加、固定分场所增加、服务点增加；</w:t>
      </w:r>
    </w:p>
    <w:p>
      <w:pPr>
        <w:numPr>
          <w:ilvl w:val="0"/>
          <w:numId w:val="12"/>
        </w:numPr>
        <w:spacing w:line="360" w:lineRule="auto"/>
        <w:rPr>
          <w:rFonts w:ascii="宋体" w:hAnsi="宋体"/>
          <w:sz w:val="24"/>
          <w:highlight w:val="none"/>
        </w:rPr>
      </w:pPr>
      <w:r>
        <w:rPr>
          <w:rFonts w:hint="eastAsia" w:ascii="宋体" w:hAnsi="宋体"/>
          <w:sz w:val="24"/>
          <w:highlight w:val="none"/>
        </w:rPr>
        <w:t>服务类别增加；</w:t>
      </w:r>
    </w:p>
    <w:p>
      <w:pPr>
        <w:numPr>
          <w:ilvl w:val="0"/>
          <w:numId w:val="12"/>
        </w:numPr>
        <w:spacing w:line="360" w:lineRule="auto"/>
        <w:rPr>
          <w:rFonts w:hint="eastAsia" w:ascii="宋体" w:hAnsi="宋体"/>
          <w:sz w:val="24"/>
          <w:highlight w:val="none"/>
        </w:rPr>
      </w:pPr>
      <w:r>
        <w:rPr>
          <w:rFonts w:hint="eastAsia" w:ascii="宋体" w:hAnsi="宋体"/>
          <w:sz w:val="24"/>
          <w:highlight w:val="none"/>
        </w:rPr>
        <w:t>服务形成主要过程增加，如软件设计开发服务、软件测试服务。</w:t>
      </w:r>
    </w:p>
    <w:p>
      <w:pPr>
        <w:spacing w:line="360" w:lineRule="auto"/>
        <w:rPr>
          <w:rFonts w:hint="eastAsia" w:ascii="宋体" w:hAnsi="宋体"/>
          <w:bCs/>
          <w:sz w:val="24"/>
          <w:highlight w:val="none"/>
        </w:rPr>
      </w:pPr>
      <w:r>
        <w:rPr>
          <w:rFonts w:hint="eastAsia" w:ascii="宋体" w:hAnsi="宋体"/>
          <w:bCs/>
          <w:sz w:val="24"/>
          <w:highlight w:val="none"/>
        </w:rPr>
        <w:t>6.4.2 扩大认证范围的条件</w:t>
      </w:r>
    </w:p>
    <w:p>
      <w:pPr>
        <w:numPr>
          <w:ilvl w:val="0"/>
          <w:numId w:val="13"/>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3"/>
        </w:numPr>
        <w:spacing w:line="360" w:lineRule="auto"/>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3"/>
        </w:numPr>
        <w:spacing w:line="360" w:lineRule="auto"/>
        <w:rPr>
          <w:rFonts w:hint="eastAsia" w:ascii="宋体" w:hAnsi="宋体"/>
          <w:sz w:val="24"/>
          <w:highlight w:val="none"/>
        </w:rPr>
      </w:pPr>
      <w:r>
        <w:rPr>
          <w:rFonts w:hint="eastAsia" w:ascii="宋体" w:hAnsi="宋体"/>
          <w:sz w:val="24"/>
          <w:highlight w:val="none"/>
        </w:rPr>
        <w:t>国家或地方或行业有要求时，获证客户在申请扩大认证范围内的组织单元、产品、服务及其过程和活动，已满足适用的法律法规的要求；</w:t>
      </w:r>
    </w:p>
    <w:p>
      <w:pPr>
        <w:numPr>
          <w:ilvl w:val="0"/>
          <w:numId w:val="13"/>
        </w:numPr>
        <w:spacing w:line="360" w:lineRule="auto"/>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3"/>
        </w:numPr>
        <w:spacing w:line="360" w:lineRule="auto"/>
        <w:rPr>
          <w:rFonts w:hint="eastAsia" w:ascii="宋体" w:hAnsi="宋体"/>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bCs/>
          <w:sz w:val="24"/>
          <w:highlight w:val="none"/>
        </w:rPr>
        <w:t>6.4.3 扩大认证范围的程序</w:t>
      </w:r>
    </w:p>
    <w:p>
      <w:pPr>
        <w:numPr>
          <w:ilvl w:val="0"/>
          <w:numId w:val="14"/>
        </w:numPr>
        <w:spacing w:line="360" w:lineRule="auto"/>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4"/>
        </w:numPr>
        <w:spacing w:line="360" w:lineRule="auto"/>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4"/>
        </w:numPr>
        <w:spacing w:line="360" w:lineRule="auto"/>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4"/>
        </w:numPr>
        <w:spacing w:line="360" w:lineRule="auto"/>
        <w:rPr>
          <w:rFonts w:hint="eastAsia" w:ascii="宋体" w:hAnsi="宋体"/>
          <w:sz w:val="24"/>
          <w:highlight w:val="none"/>
        </w:rPr>
      </w:pPr>
      <w:r>
        <w:rPr>
          <w:rFonts w:hint="eastAsia" w:ascii="宋体" w:hAnsi="宋体"/>
          <w:sz w:val="24"/>
          <w:highlight w:val="none"/>
        </w:rPr>
        <w:t>满足6.4.1扩大认证范围的条件，经CQM审核、审定，认为获证客户在申请扩大认证范围内已满足批准认证资格的条件，同意批准扩大认证范围，认证证书的注册号和有效期保持不变；</w:t>
      </w:r>
    </w:p>
    <w:p>
      <w:pPr>
        <w:numPr>
          <w:ilvl w:val="0"/>
          <w:numId w:val="14"/>
        </w:numPr>
        <w:spacing w:line="360" w:lineRule="auto"/>
        <w:rPr>
          <w:rFonts w:hint="eastAsia" w:ascii="宋体" w:hAnsi="宋体"/>
          <w:sz w:val="24"/>
          <w:highlight w:val="none"/>
        </w:rPr>
      </w:pPr>
      <w:r>
        <w:rPr>
          <w:rFonts w:hint="eastAsia" w:ascii="宋体" w:hAnsi="宋体"/>
          <w:sz w:val="24"/>
          <w:highlight w:val="none"/>
        </w:rPr>
        <w:t>CQM向获证客户送交新认证证书，同时收回原证书。</w:t>
      </w:r>
    </w:p>
    <w:p>
      <w:pPr>
        <w:pStyle w:val="3"/>
        <w:spacing w:before="0" w:after="0" w:line="360" w:lineRule="auto"/>
        <w:rPr>
          <w:rFonts w:hint="eastAsia" w:ascii="宋体" w:hAnsi="宋体" w:eastAsia="宋体"/>
          <w:sz w:val="24"/>
          <w:szCs w:val="24"/>
          <w:highlight w:val="none"/>
          <w:lang w:eastAsia="zh-CN"/>
        </w:rPr>
      </w:pPr>
      <w:bookmarkStart w:id="94" w:name="_Toc85105520"/>
      <w:bookmarkStart w:id="95" w:name="_Toc85103631"/>
      <w:bookmarkStart w:id="96" w:name="_Toc85256256"/>
      <w:bookmarkStart w:id="97" w:name="_Toc444776340"/>
      <w:bookmarkStart w:id="98" w:name="_Toc185325634"/>
      <w:r>
        <w:rPr>
          <w:rFonts w:hint="eastAsia" w:ascii="宋体" w:hAnsi="宋体" w:eastAsia="宋体"/>
          <w:sz w:val="24"/>
          <w:szCs w:val="24"/>
          <w:highlight w:val="none"/>
        </w:rPr>
        <w:t>6.</w:t>
      </w:r>
      <w:r>
        <w:rPr>
          <w:rFonts w:hint="eastAsia" w:ascii="宋体" w:hAnsi="宋体" w:eastAsia="宋体"/>
          <w:sz w:val="24"/>
          <w:szCs w:val="24"/>
          <w:highlight w:val="none"/>
          <w:lang w:eastAsia="zh-CN"/>
        </w:rPr>
        <w:t>5</w:t>
      </w:r>
      <w:r>
        <w:rPr>
          <w:rFonts w:hint="eastAsia" w:ascii="宋体" w:hAnsi="宋体" w:eastAsia="宋体"/>
          <w:sz w:val="24"/>
          <w:szCs w:val="24"/>
          <w:highlight w:val="none"/>
        </w:rPr>
        <w:t xml:space="preserve"> 缩小认证范围的条件</w:t>
      </w:r>
      <w:bookmarkEnd w:id="94"/>
      <w:bookmarkEnd w:id="95"/>
      <w:bookmarkEnd w:id="96"/>
      <w:r>
        <w:rPr>
          <w:rFonts w:hint="eastAsia" w:ascii="宋体" w:hAnsi="宋体" w:eastAsia="宋体"/>
          <w:sz w:val="24"/>
          <w:szCs w:val="24"/>
          <w:highlight w:val="none"/>
        </w:rPr>
        <w:t>和程序</w:t>
      </w:r>
      <w:bookmarkEnd w:id="97"/>
      <w:bookmarkEnd w:id="98"/>
    </w:p>
    <w:p>
      <w:pPr>
        <w:spacing w:line="360" w:lineRule="auto"/>
        <w:rPr>
          <w:rFonts w:hint="eastAsia" w:ascii="宋体" w:hAnsi="宋体"/>
          <w:sz w:val="24"/>
          <w:highlight w:val="none"/>
        </w:rPr>
      </w:pPr>
      <w:r>
        <w:rPr>
          <w:rFonts w:hint="eastAsia" w:ascii="宋体" w:hAnsi="宋体"/>
          <w:bCs/>
          <w:sz w:val="24"/>
          <w:highlight w:val="none"/>
        </w:rPr>
        <w:t>6.5.1 缩小认证范围的分类</w:t>
      </w:r>
    </w:p>
    <w:p>
      <w:pPr>
        <w:numPr>
          <w:ilvl w:val="0"/>
          <w:numId w:val="15"/>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获证客户固定分场所、服务网点缩小；</w:t>
      </w:r>
    </w:p>
    <w:p>
      <w:pPr>
        <w:numPr>
          <w:ilvl w:val="0"/>
          <w:numId w:val="15"/>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服务类别减少；</w:t>
      </w:r>
    </w:p>
    <w:p>
      <w:pPr>
        <w:numPr>
          <w:ilvl w:val="0"/>
          <w:numId w:val="15"/>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服务形成主要过程减少，如</w:t>
      </w:r>
      <w:r>
        <w:rPr>
          <w:rFonts w:hint="eastAsia" w:ascii="宋体" w:hAnsi="宋体"/>
          <w:sz w:val="24"/>
          <w:highlight w:val="none"/>
        </w:rPr>
        <w:t>软件设计开发服务、软件测试服务</w:t>
      </w:r>
      <w:r>
        <w:rPr>
          <w:rFonts w:hint="eastAsia" w:ascii="宋体" w:hAnsi="宋体"/>
          <w:bCs/>
          <w:sz w:val="24"/>
          <w:highlight w:val="none"/>
        </w:rPr>
        <w:t>；</w:t>
      </w:r>
    </w:p>
    <w:p>
      <w:pPr>
        <w:numPr>
          <w:ilvl w:val="0"/>
          <w:numId w:val="15"/>
        </w:numPr>
        <w:tabs>
          <w:tab w:val="left" w:pos="720"/>
          <w:tab w:val="clear" w:pos="1078"/>
        </w:tabs>
        <w:spacing w:line="360" w:lineRule="auto"/>
        <w:ind w:left="720"/>
        <w:rPr>
          <w:rFonts w:hint="eastAsia" w:ascii="宋体" w:hAnsi="宋体"/>
          <w:sz w:val="24"/>
          <w:highlight w:val="none"/>
        </w:rPr>
      </w:pPr>
      <w:r>
        <w:rPr>
          <w:rFonts w:hint="eastAsia" w:ascii="宋体" w:hAnsi="宋体"/>
          <w:bCs/>
          <w:sz w:val="24"/>
          <w:highlight w:val="none"/>
        </w:rPr>
        <w:t>多个组织认证减少组织数量。</w:t>
      </w:r>
    </w:p>
    <w:p>
      <w:pPr>
        <w:spacing w:line="360" w:lineRule="auto"/>
        <w:rPr>
          <w:rFonts w:hint="eastAsia" w:ascii="宋体" w:hAnsi="宋体"/>
          <w:sz w:val="24"/>
          <w:highlight w:val="none"/>
        </w:rPr>
      </w:pPr>
      <w:r>
        <w:rPr>
          <w:rFonts w:hint="eastAsia" w:ascii="宋体" w:hAnsi="宋体"/>
          <w:bCs/>
          <w:sz w:val="24"/>
          <w:highlight w:val="none"/>
        </w:rPr>
        <w:t>6.5.2 缩小认证范围的条件</w:t>
      </w:r>
    </w:p>
    <w:p>
      <w:pPr>
        <w:numPr>
          <w:ilvl w:val="0"/>
          <w:numId w:val="16"/>
        </w:numPr>
        <w:tabs>
          <w:tab w:val="left" w:pos="709"/>
          <w:tab w:val="clear" w:pos="1078"/>
        </w:tabs>
        <w:spacing w:line="360" w:lineRule="auto"/>
        <w:ind w:left="720"/>
        <w:jc w:val="left"/>
        <w:rPr>
          <w:rFonts w:hint="eastAsia"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6"/>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获证客户不愿再继续保持认证范围内的部分服务、区域等认证资格；</w:t>
      </w:r>
    </w:p>
    <w:p>
      <w:pPr>
        <w:numPr>
          <w:ilvl w:val="0"/>
          <w:numId w:val="16"/>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numPr>
          <w:ilvl w:val="0"/>
          <w:numId w:val="16"/>
        </w:numPr>
        <w:tabs>
          <w:tab w:val="left" w:pos="709"/>
          <w:tab w:val="clear" w:pos="1078"/>
        </w:tabs>
        <w:spacing w:line="360" w:lineRule="auto"/>
        <w:ind w:left="720"/>
        <w:rPr>
          <w:rFonts w:hint="eastAsia" w:ascii="宋体" w:hAnsi="宋体" w:cs="宋体"/>
          <w:sz w:val="24"/>
          <w:highlight w:val="none"/>
        </w:rPr>
      </w:pPr>
      <w:r>
        <w:rPr>
          <w:rFonts w:hint="eastAsia" w:ascii="宋体" w:hAnsi="宋体" w:cs="宋体"/>
          <w:sz w:val="24"/>
          <w:highlight w:val="none"/>
        </w:rPr>
        <w:t>如果获证客户在认证范围的某些部分持续地或严重地不满足认证要求，CQM将缩小其管理体系认证范围。以排除部门组要求的部分。认证范围的缩小应与认证标准的要求保持一致。</w:t>
      </w:r>
    </w:p>
    <w:p>
      <w:pPr>
        <w:spacing w:line="360" w:lineRule="auto"/>
        <w:rPr>
          <w:rFonts w:hint="eastAsia" w:ascii="宋体" w:hAnsi="宋体"/>
          <w:bCs/>
          <w:sz w:val="24"/>
          <w:highlight w:val="none"/>
        </w:rPr>
      </w:pPr>
      <w:r>
        <w:rPr>
          <w:rFonts w:hint="eastAsia" w:ascii="宋体" w:hAnsi="宋体"/>
          <w:bCs/>
          <w:sz w:val="24"/>
          <w:highlight w:val="none"/>
        </w:rPr>
        <w:t>6.5.3 缩小认证范围的程序</w:t>
      </w:r>
    </w:p>
    <w:p>
      <w:pPr>
        <w:numPr>
          <w:ilvl w:val="2"/>
          <w:numId w:val="8"/>
        </w:numPr>
        <w:spacing w:line="360" w:lineRule="auto"/>
        <w:rPr>
          <w:rFonts w:hint="eastAsia"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8"/>
        </w:numPr>
        <w:spacing w:line="360" w:lineRule="auto"/>
        <w:rPr>
          <w:rFonts w:hint="eastAsia" w:ascii="宋体" w:hAnsi="宋体"/>
          <w:sz w:val="24"/>
          <w:highlight w:val="none"/>
        </w:rPr>
      </w:pPr>
      <w:r>
        <w:rPr>
          <w:rFonts w:hint="eastAsia" w:ascii="宋体" w:hAnsi="宋体"/>
          <w:sz w:val="24"/>
          <w:highlight w:val="none"/>
        </w:rPr>
        <w:t>需要时，获证客户应与CQM修订认证合同；</w:t>
      </w:r>
    </w:p>
    <w:p>
      <w:pPr>
        <w:numPr>
          <w:ilvl w:val="2"/>
          <w:numId w:val="8"/>
        </w:numPr>
        <w:spacing w:line="360" w:lineRule="auto"/>
        <w:rPr>
          <w:rFonts w:hint="eastAsia"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pStyle w:val="3"/>
        <w:spacing w:before="0" w:after="0" w:line="360" w:lineRule="auto"/>
        <w:rPr>
          <w:rFonts w:hint="eastAsia" w:ascii="宋体" w:hAnsi="宋体" w:eastAsia="宋体"/>
          <w:sz w:val="24"/>
          <w:szCs w:val="24"/>
          <w:highlight w:val="none"/>
        </w:rPr>
      </w:pPr>
      <w:bookmarkStart w:id="99" w:name="_Toc444776341"/>
      <w:r>
        <w:rPr>
          <w:rFonts w:hint="eastAsia" w:ascii="宋体" w:hAnsi="宋体" w:eastAsia="宋体"/>
          <w:sz w:val="24"/>
          <w:szCs w:val="24"/>
          <w:highlight w:val="none"/>
        </w:rPr>
        <w:t>6.</w:t>
      </w:r>
      <w:r>
        <w:rPr>
          <w:rFonts w:hint="eastAsia" w:ascii="宋体" w:hAnsi="宋体" w:eastAsia="宋体"/>
          <w:sz w:val="24"/>
          <w:szCs w:val="24"/>
          <w:highlight w:val="none"/>
          <w:lang w:eastAsia="zh-CN"/>
        </w:rPr>
        <w:t>6</w:t>
      </w:r>
      <w:r>
        <w:rPr>
          <w:rFonts w:hint="eastAsia" w:ascii="宋体" w:hAnsi="宋体" w:eastAsia="宋体"/>
          <w:sz w:val="24"/>
          <w:szCs w:val="24"/>
          <w:highlight w:val="none"/>
        </w:rPr>
        <w:t xml:space="preserve"> </w:t>
      </w:r>
      <w:r>
        <w:rPr>
          <w:rFonts w:hint="eastAsia" w:ascii="宋体" w:hAnsi="宋体" w:eastAsia="宋体"/>
          <w:sz w:val="24"/>
          <w:szCs w:val="24"/>
          <w:highlight w:val="none"/>
          <w:lang w:eastAsia="zh-CN"/>
        </w:rPr>
        <w:t>变更认证信息的条件和</w:t>
      </w:r>
      <w:r>
        <w:rPr>
          <w:rFonts w:hint="eastAsia" w:ascii="宋体" w:hAnsi="宋体" w:eastAsia="宋体"/>
          <w:sz w:val="24"/>
          <w:szCs w:val="24"/>
          <w:highlight w:val="none"/>
        </w:rPr>
        <w:t>程序</w:t>
      </w:r>
      <w:bookmarkEnd w:id="99"/>
    </w:p>
    <w:p>
      <w:pPr>
        <w:spacing w:line="360" w:lineRule="auto"/>
        <w:rPr>
          <w:rFonts w:hint="eastAsia" w:ascii="宋体" w:hAnsi="宋体"/>
          <w:bCs/>
          <w:sz w:val="24"/>
          <w:highlight w:val="none"/>
        </w:rPr>
      </w:pPr>
      <w:r>
        <w:rPr>
          <w:rFonts w:hint="eastAsia" w:ascii="宋体" w:hAnsi="宋体"/>
          <w:bCs/>
          <w:sz w:val="24"/>
          <w:highlight w:val="none"/>
        </w:rPr>
        <w:t>6.6.1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rPr>
        <w:t>6.6.1.1变更认证信息的条件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rPr>
        <w:t>6.6.1.2变更认证信息的分类：</w:t>
      </w:r>
    </w:p>
    <w:p>
      <w:pPr>
        <w:numPr>
          <w:ilvl w:val="0"/>
          <w:numId w:val="17"/>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7"/>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7"/>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地名、邮编变更；</w:t>
      </w:r>
    </w:p>
    <w:p>
      <w:pPr>
        <w:numPr>
          <w:ilvl w:val="0"/>
          <w:numId w:val="17"/>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7"/>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证书范围中的服务、活动的变更</w:t>
      </w:r>
      <w:r>
        <w:rPr>
          <w:rFonts w:hint="eastAsia" w:ascii="宋体" w:hAnsi="宋体"/>
          <w:bCs/>
          <w:sz w:val="24"/>
          <w:highlight w:val="none"/>
        </w:rPr>
        <w:t>（含临时服务场所）</w:t>
      </w:r>
      <w:r>
        <w:rPr>
          <w:rFonts w:hint="eastAsia" w:ascii="宋体" w:hAnsi="宋体" w:cs="宋体"/>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6.6.2变更认证信息的程序</w:t>
      </w:r>
    </w:p>
    <w:p>
      <w:pPr>
        <w:spacing w:line="360" w:lineRule="auto"/>
        <w:rPr>
          <w:rFonts w:hint="eastAsia" w:ascii="宋体" w:hAnsi="宋体"/>
          <w:color w:val="000000"/>
          <w:sz w:val="24"/>
          <w:highlight w:val="none"/>
        </w:rPr>
      </w:pPr>
      <w:r>
        <w:rPr>
          <w:rFonts w:hint="eastAsia" w:ascii="宋体" w:hAnsi="宋体"/>
          <w:color w:val="000000"/>
          <w:sz w:val="24"/>
          <w:highlight w:val="none"/>
        </w:rPr>
        <w:t>6.6.2.1认证信息的变更需提交的资料</w:t>
      </w:r>
    </w:p>
    <w:p>
      <w:pPr>
        <w:spacing w:line="360" w:lineRule="auto"/>
        <w:rPr>
          <w:rFonts w:hint="eastAsia" w:ascii="宋体" w:hAnsi="宋体"/>
          <w:color w:val="000000"/>
          <w:sz w:val="24"/>
          <w:highlight w:val="none"/>
        </w:rPr>
      </w:pPr>
      <w:r>
        <w:rPr>
          <w:rFonts w:hint="eastAsia" w:ascii="宋体" w:hAnsi="宋体"/>
          <w:color w:val="000000"/>
          <w:sz w:val="24"/>
          <w:highlight w:val="none"/>
        </w:rPr>
        <w:t>6.6.2.1.1获证客户名称、住所变更应提交的资料</w:t>
      </w:r>
    </w:p>
    <w:p>
      <w:pPr>
        <w:numPr>
          <w:ilvl w:val="0"/>
          <w:numId w:val="18"/>
        </w:numPr>
        <w:spacing w:line="360" w:lineRule="auto"/>
        <w:ind w:left="1134" w:hanging="708"/>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8"/>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8"/>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rPr>
        <w:t>6.6.2.1.2认证地址变更需要提交的资料</w:t>
      </w:r>
    </w:p>
    <w:p>
      <w:pPr>
        <w:numPr>
          <w:ilvl w:val="0"/>
          <w:numId w:val="19"/>
        </w:numPr>
        <w:spacing w:line="360" w:lineRule="auto"/>
        <w:ind w:hanging="1194"/>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9"/>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rPr>
        <w:t>6.6.2.1.3 地名、邮编变更需要提交的资料</w:t>
      </w:r>
    </w:p>
    <w:p>
      <w:pPr>
        <w:numPr>
          <w:ilvl w:val="0"/>
          <w:numId w:val="20"/>
        </w:numPr>
        <w:spacing w:line="360" w:lineRule="auto"/>
        <w:ind w:hanging="1194"/>
        <w:rPr>
          <w:rFonts w:hint="eastAsia"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20"/>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20"/>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rPr>
        <w:t>6.6.2.1.4企业增加人数，证书编号变更需要提交的资料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color w:val="000000"/>
          <w:sz w:val="24"/>
          <w:highlight w:val="none"/>
        </w:rPr>
        <w:t>6.6.2.1.5 证书范围中的服务、活动的变更需要提交的资料</w:t>
      </w:r>
    </w:p>
    <w:p>
      <w:pPr>
        <w:numPr>
          <w:ilvl w:val="1"/>
          <w:numId w:val="21"/>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21"/>
        </w:numPr>
        <w:tabs>
          <w:tab w:val="left" w:pos="720"/>
        </w:tabs>
        <w:spacing w:line="360" w:lineRule="auto"/>
        <w:rPr>
          <w:rFonts w:hint="eastAsia"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color w:val="000000"/>
          <w:sz w:val="24"/>
          <w:highlight w:val="none"/>
        </w:rPr>
        <w:t>6.6.2.2 认证信息变更的办理流程</w:t>
      </w:r>
    </w:p>
    <w:p>
      <w:pPr>
        <w:numPr>
          <w:ilvl w:val="0"/>
          <w:numId w:val="22"/>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获证客户根据6.6.1要求向CQM正式提交满足6.6.2.1要求的申请和相关文件资料；</w:t>
      </w:r>
    </w:p>
    <w:p>
      <w:pPr>
        <w:numPr>
          <w:ilvl w:val="0"/>
          <w:numId w:val="22"/>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2"/>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2"/>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w:t>
      </w:r>
      <w:r>
        <w:rPr>
          <w:rFonts w:hint="eastAsia" w:ascii="宋体" w:hAnsi="宋体" w:cs="宋体"/>
          <w:sz w:val="24"/>
          <w:highlight w:val="none"/>
        </w:rPr>
        <w:t>收回原认证证书，换发认证证书或附件，认证证书的有效期保持不变。</w:t>
      </w:r>
    </w:p>
    <w:p>
      <w:pPr>
        <w:pStyle w:val="3"/>
        <w:spacing w:before="0" w:after="0" w:line="360" w:lineRule="auto"/>
        <w:rPr>
          <w:rFonts w:hint="eastAsia" w:ascii="宋体" w:hAnsi="宋体" w:eastAsia="宋体"/>
          <w:sz w:val="24"/>
          <w:szCs w:val="24"/>
          <w:highlight w:val="none"/>
        </w:rPr>
      </w:pPr>
      <w:bookmarkStart w:id="100" w:name="_Toc85105521"/>
      <w:bookmarkStart w:id="101" w:name="_Toc85103632"/>
      <w:bookmarkStart w:id="102" w:name="_Toc85256257"/>
      <w:bookmarkStart w:id="103" w:name="_Toc185325635"/>
      <w:bookmarkStart w:id="104" w:name="_Toc444776342"/>
      <w:r>
        <w:rPr>
          <w:rFonts w:hint="eastAsia" w:ascii="宋体" w:hAnsi="宋体" w:eastAsia="宋体"/>
          <w:sz w:val="24"/>
          <w:szCs w:val="24"/>
          <w:highlight w:val="none"/>
        </w:rPr>
        <w:t>6.</w:t>
      </w:r>
      <w:r>
        <w:rPr>
          <w:rFonts w:hint="eastAsia" w:ascii="宋体" w:hAnsi="宋体" w:eastAsia="宋体"/>
          <w:sz w:val="24"/>
          <w:szCs w:val="24"/>
          <w:highlight w:val="none"/>
          <w:lang w:eastAsia="zh-CN"/>
        </w:rPr>
        <w:t>7</w:t>
      </w:r>
      <w:r>
        <w:rPr>
          <w:rFonts w:hint="eastAsia" w:ascii="宋体" w:hAnsi="宋体" w:eastAsia="宋体"/>
          <w:sz w:val="24"/>
          <w:szCs w:val="24"/>
          <w:highlight w:val="none"/>
        </w:rPr>
        <w:t xml:space="preserve"> 暂停认证资格的条件</w:t>
      </w:r>
      <w:bookmarkEnd w:id="100"/>
      <w:bookmarkEnd w:id="101"/>
      <w:bookmarkEnd w:id="102"/>
      <w:r>
        <w:rPr>
          <w:rFonts w:hint="eastAsia" w:ascii="宋体" w:hAnsi="宋体" w:eastAsia="宋体"/>
          <w:sz w:val="24"/>
          <w:szCs w:val="24"/>
          <w:highlight w:val="none"/>
        </w:rPr>
        <w:t>和程序</w:t>
      </w:r>
      <w:bookmarkEnd w:id="103"/>
      <w:bookmarkEnd w:id="104"/>
    </w:p>
    <w:p>
      <w:pPr>
        <w:spacing w:line="360" w:lineRule="auto"/>
        <w:rPr>
          <w:rFonts w:hint="eastAsia" w:ascii="宋体" w:hAnsi="宋体"/>
          <w:bCs/>
          <w:sz w:val="24"/>
          <w:highlight w:val="none"/>
        </w:rPr>
      </w:pPr>
      <w:r>
        <w:rPr>
          <w:rFonts w:hint="eastAsia" w:ascii="宋体" w:hAnsi="宋体"/>
          <w:bCs/>
          <w:sz w:val="24"/>
          <w:highlight w:val="none"/>
        </w:rPr>
        <w:t>6.7.1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--获证客户管理及服务体系持续或严重不满足认证要求，包括对管理体系运行的有效性要求。</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a)</w:t>
      </w:r>
      <w:r>
        <w:rPr>
          <w:rFonts w:ascii="宋体" w:hAnsi="宋体"/>
          <w:bCs/>
          <w:sz w:val="24"/>
          <w:highlight w:val="none"/>
        </w:rPr>
        <w:t>获证客户的管理体系发生重大变更，不能持续符合认证标准/规范性文件要求；</w:t>
      </w:r>
    </w:p>
    <w:p>
      <w:pPr>
        <w:spacing w:line="360" w:lineRule="auto"/>
        <w:ind w:left="359" w:leftChars="171"/>
        <w:rPr>
          <w:rFonts w:hint="eastAsia" w:ascii="宋体" w:hAnsi="宋体"/>
          <w:bCs/>
          <w:sz w:val="24"/>
          <w:highlight w:val="none"/>
        </w:rPr>
      </w:pPr>
      <w:r>
        <w:rPr>
          <w:rFonts w:hint="eastAsia" w:ascii="宋体" w:hAnsi="宋体"/>
          <w:bCs/>
          <w:sz w:val="24"/>
          <w:highlight w:val="none"/>
        </w:rPr>
        <w:t>b)获证客户</w:t>
      </w:r>
      <w:r>
        <w:rPr>
          <w:rFonts w:ascii="宋体" w:hAnsi="宋体"/>
          <w:bCs/>
          <w:sz w:val="24"/>
          <w:highlight w:val="none"/>
        </w:rPr>
        <w:t>监督审核期间发生严重影响体系运行的情况；</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c)</w:t>
      </w:r>
      <w:r>
        <w:rPr>
          <w:rFonts w:ascii="宋体" w:hAnsi="宋体"/>
          <w:bCs/>
          <w:sz w:val="24"/>
          <w:highlight w:val="none"/>
        </w:rPr>
        <w:t>获证客户在认证范围内的组织单元、服务及其过程和活动不能满足适用的最新法律法规和标准的要求，并未采取措施或措施无效；</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d)</w:t>
      </w:r>
      <w:r>
        <w:rPr>
          <w:rFonts w:ascii="宋体" w:hAnsi="宋体"/>
          <w:bCs/>
          <w:sz w:val="24"/>
          <w:highlight w:val="none"/>
        </w:rPr>
        <w:t>获证客户未按照认证要求的变更做出相应调整，或调整不满足变更要求；</w:t>
      </w:r>
    </w:p>
    <w:p>
      <w:pPr>
        <w:pStyle w:val="7"/>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获证客户不承担、履行认证合同约定的责任和义务。</w:t>
      </w:r>
    </w:p>
    <w:p>
      <w:pPr>
        <w:pStyle w:val="7"/>
        <w:spacing w:after="0" w:line="360" w:lineRule="auto"/>
        <w:rPr>
          <w:rFonts w:hint="eastAsia" w:ascii="宋体" w:hAnsi="宋体"/>
          <w:bCs/>
          <w:iCs/>
          <w:sz w:val="24"/>
          <w:highlight w:val="none"/>
        </w:rPr>
      </w:pPr>
      <w:r>
        <w:rPr>
          <w:rFonts w:hint="eastAsia" w:ascii="宋体" w:hAnsi="宋体"/>
          <w:bCs/>
          <w:iCs/>
          <w:sz w:val="24"/>
          <w:highlight w:val="none"/>
        </w:rPr>
        <w:t>a)获证客户未能在规定的期限内接受监督或再认证审核；</w:t>
      </w:r>
    </w:p>
    <w:p>
      <w:pPr>
        <w:pStyle w:val="7"/>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获证客户未履行与CQM签署认证合同中规定的责任和义务，并对保持认证资格产生重大影响；</w:t>
      </w:r>
    </w:p>
    <w:p>
      <w:pPr>
        <w:pStyle w:val="7"/>
        <w:spacing w:after="0"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获证客户未按照认证合同规定缴纳认证费用</w:t>
      </w:r>
      <w:r>
        <w:rPr>
          <w:rFonts w:hint="eastAsia" w:ascii="宋体" w:hAnsi="宋体"/>
          <w:bCs/>
          <w:iCs/>
          <w:sz w:val="24"/>
          <w:highlight w:val="none"/>
        </w:rPr>
        <w:t>；</w:t>
      </w:r>
    </w:p>
    <w:p>
      <w:pPr>
        <w:pStyle w:val="7"/>
        <w:spacing w:after="0"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获证客户在获证期间发生误用认证证书和认证标志，并未能及时有效地采取纠正和纠正措施，以将产生的影响降至最少程度</w:t>
      </w:r>
      <w:r>
        <w:rPr>
          <w:rFonts w:hint="eastAsia" w:ascii="宋体" w:hAnsi="宋体"/>
          <w:bCs/>
          <w:iCs/>
          <w:sz w:val="24"/>
          <w:highlight w:val="none"/>
        </w:rPr>
        <w:t>。</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获证客户在证书有效期间受到相关执法监管部门处罚。</w:t>
      </w:r>
    </w:p>
    <w:p>
      <w:pPr>
        <w:pStyle w:val="7"/>
        <w:spacing w:after="0" w:line="360" w:lineRule="auto"/>
        <w:rPr>
          <w:rFonts w:hint="eastAsia" w:ascii="宋体" w:hAnsi="宋体"/>
          <w:bCs/>
          <w:iCs/>
          <w:sz w:val="24"/>
          <w:highlight w:val="none"/>
        </w:rPr>
      </w:pPr>
      <w:r>
        <w:rPr>
          <w:rFonts w:hint="eastAsia" w:ascii="宋体" w:hAnsi="宋体"/>
          <w:bCs/>
          <w:iCs/>
          <w:sz w:val="24"/>
          <w:highlight w:val="none"/>
        </w:rPr>
        <w:t>a) 获证客户未按要求对信息进行通报。</w:t>
      </w:r>
    </w:p>
    <w:p>
      <w:pPr>
        <w:pStyle w:val="7"/>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获证客户被地方认证监管部门发现体系运行存在问题。</w:t>
      </w:r>
    </w:p>
    <w:p>
      <w:pPr>
        <w:pStyle w:val="7"/>
        <w:spacing w:after="0"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获证客户于获证期间在认证范围内发生国家</w:t>
      </w:r>
      <w:r>
        <w:rPr>
          <w:rFonts w:hint="eastAsia" w:ascii="宋体" w:hAnsi="宋体"/>
          <w:bCs/>
          <w:iCs/>
          <w:sz w:val="24"/>
          <w:highlight w:val="none"/>
        </w:rPr>
        <w:t>抽</w:t>
      </w:r>
      <w:r>
        <w:rPr>
          <w:rFonts w:ascii="宋体" w:hAnsi="宋体"/>
          <w:bCs/>
          <w:iCs/>
          <w:sz w:val="24"/>
          <w:highlight w:val="none"/>
        </w:rPr>
        <w:t>检不合格，并未查明原因和采取补救措施</w:t>
      </w:r>
      <w:r>
        <w:rPr>
          <w:rFonts w:hint="eastAsia" w:ascii="宋体" w:hAnsi="宋体"/>
          <w:bCs/>
          <w:iCs/>
          <w:sz w:val="24"/>
          <w:highlight w:val="none"/>
        </w:rPr>
        <w:t>。</w:t>
      </w:r>
    </w:p>
    <w:p>
      <w:pPr>
        <w:pStyle w:val="7"/>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获证客户持有的行政许可证明、资质证书、强制性认证证书等过期失效，重新提交的申请已被受理但尚未换证。</w:t>
      </w:r>
    </w:p>
    <w:p>
      <w:pPr>
        <w:pStyle w:val="7"/>
        <w:spacing w:after="0"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获证客户的法律地位、资质不再符合国家的最新要求；</w:t>
      </w:r>
    </w:p>
    <w:p>
      <w:pPr>
        <w:pStyle w:val="7"/>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获证客户的认证范围已不在现行有效的法律地位文件和资质规定的范围内，但仍有可能在短期内符合规定要求</w:t>
      </w:r>
      <w:r>
        <w:rPr>
          <w:rFonts w:hint="eastAsia" w:ascii="宋体" w:hAnsi="宋体"/>
          <w:bCs/>
          <w:iCs/>
          <w:sz w:val="24"/>
          <w:highlight w:val="none"/>
        </w:rPr>
        <w:t>。</w:t>
      </w:r>
    </w:p>
    <w:p>
      <w:pPr>
        <w:pStyle w:val="7"/>
        <w:spacing w:after="0" w:line="360" w:lineRule="auto"/>
        <w:ind w:left="0" w:leftChars="0"/>
        <w:rPr>
          <w:rFonts w:hint="eastAsia" w:ascii="宋体" w:hAnsi="宋体"/>
          <w:bCs/>
          <w:sz w:val="24"/>
          <w:highlight w:val="none"/>
          <w:lang w:eastAsia="zh-CN"/>
        </w:rPr>
      </w:pPr>
      <w:r>
        <w:rPr>
          <w:rFonts w:hint="eastAsia" w:ascii="宋体" w:hAnsi="宋体"/>
          <w:bCs/>
          <w:sz w:val="24"/>
          <w:highlight w:val="none"/>
        </w:rPr>
        <w:t>--</w:t>
      </w:r>
      <w:r>
        <w:rPr>
          <w:rFonts w:hint="eastAsia" w:ascii="宋体" w:hAnsi="宋体"/>
          <w:bCs/>
          <w:sz w:val="24"/>
          <w:highlight w:val="none"/>
          <w:lang w:eastAsia="zh-CN"/>
        </w:rPr>
        <w:t>获证客户不接受或不配合认证认可监督管理部门的监督管理；</w:t>
      </w:r>
    </w:p>
    <w:p>
      <w:pPr>
        <w:pStyle w:val="7"/>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获证客户主动请求暂停。</w:t>
      </w:r>
    </w:p>
    <w:p>
      <w:pPr>
        <w:spacing w:line="360" w:lineRule="auto"/>
        <w:ind w:firstLine="480" w:firstLineChars="20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获证客户发生了与</w:t>
      </w:r>
      <w:r>
        <w:rPr>
          <w:rFonts w:hint="eastAsia" w:ascii="宋体" w:hAnsi="宋体"/>
          <w:sz w:val="24"/>
          <w:highlight w:val="none"/>
        </w:rPr>
        <w:t>信息安全泄露事故或信息技术服务</w:t>
      </w:r>
      <w:r>
        <w:rPr>
          <w:rFonts w:hint="eastAsia" w:ascii="宋体" w:hAnsi="宋体"/>
          <w:bCs/>
          <w:iCs/>
          <w:sz w:val="24"/>
          <w:highlight w:val="none"/>
        </w:rPr>
        <w:t>有关的重大事故，反映出获证客户的体系建立及运行存在重大缺陷。</w:t>
      </w:r>
    </w:p>
    <w:p>
      <w:pPr>
        <w:pStyle w:val="7"/>
        <w:spacing w:after="0"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获证客户于获证期间在认证范围内发生重大事故</w:t>
      </w:r>
      <w:r>
        <w:rPr>
          <w:rFonts w:hint="eastAsia" w:ascii="宋体" w:hAnsi="宋体"/>
          <w:bCs/>
          <w:iCs/>
          <w:sz w:val="24"/>
          <w:highlight w:val="none"/>
        </w:rPr>
        <w:t>被媒体曝光、或</w:t>
      </w:r>
      <w:r>
        <w:rPr>
          <w:rFonts w:ascii="宋体" w:hAnsi="宋体"/>
          <w:bCs/>
          <w:iCs/>
          <w:sz w:val="24"/>
          <w:highlight w:val="none"/>
        </w:rPr>
        <w:t>未查明原因和采取补救措施</w:t>
      </w:r>
      <w:r>
        <w:rPr>
          <w:rFonts w:hint="eastAsia" w:ascii="宋体" w:hAnsi="宋体"/>
          <w:bCs/>
          <w:iCs/>
          <w:sz w:val="24"/>
          <w:highlight w:val="none"/>
        </w:rPr>
        <w:t>；</w:t>
      </w:r>
    </w:p>
    <w:p>
      <w:pPr>
        <w:pStyle w:val="7"/>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w:t>
      </w:r>
      <w:r>
        <w:rPr>
          <w:rFonts w:hint="eastAsia" w:ascii="宋体" w:hAnsi="宋体"/>
          <w:bCs/>
          <w:iCs/>
          <w:sz w:val="24"/>
          <w:highlight w:val="none"/>
          <w:lang w:eastAsia="zh-CN"/>
        </w:rPr>
        <w:t>服务</w:t>
      </w:r>
      <w:r>
        <w:rPr>
          <w:rFonts w:ascii="宋体" w:hAnsi="宋体"/>
          <w:bCs/>
          <w:iCs/>
          <w:sz w:val="24"/>
          <w:highlight w:val="none"/>
        </w:rPr>
        <w:t>出现严重波动，未采取措施</w:t>
      </w:r>
      <w:r>
        <w:rPr>
          <w:rFonts w:hint="eastAsia" w:ascii="宋体" w:hAnsi="宋体"/>
          <w:bCs/>
          <w:iCs/>
          <w:sz w:val="24"/>
          <w:highlight w:val="none"/>
        </w:rPr>
        <w:t>。</w:t>
      </w:r>
    </w:p>
    <w:p>
      <w:pPr>
        <w:spacing w:line="360" w:lineRule="auto"/>
        <w:rPr>
          <w:rFonts w:hint="eastAsia" w:ascii="宋体" w:hAnsi="宋体"/>
          <w:bCs/>
          <w:iCs/>
          <w:sz w:val="24"/>
          <w:highlight w:val="none"/>
        </w:rPr>
      </w:pPr>
      <w:r>
        <w:rPr>
          <w:rFonts w:hint="eastAsia" w:ascii="宋体" w:hAnsi="宋体"/>
          <w:bCs/>
          <w:sz w:val="24"/>
          <w:highlight w:val="none"/>
        </w:rPr>
        <w:t>--其他原因需要暂停证书。</w:t>
      </w:r>
    </w:p>
    <w:p>
      <w:pPr>
        <w:spacing w:line="360" w:lineRule="auto"/>
        <w:rPr>
          <w:rFonts w:hint="eastAsia" w:ascii="宋体" w:hAnsi="宋体"/>
          <w:bCs/>
          <w:sz w:val="24"/>
          <w:highlight w:val="none"/>
        </w:rPr>
      </w:pPr>
      <w:r>
        <w:rPr>
          <w:rFonts w:hint="eastAsia" w:ascii="宋体" w:hAnsi="宋体"/>
          <w:bCs/>
          <w:sz w:val="24"/>
          <w:highlight w:val="none"/>
        </w:rPr>
        <w:t>6.7.2 暂停认证资格的程序</w:t>
      </w:r>
    </w:p>
    <w:p>
      <w:pPr>
        <w:numPr>
          <w:ilvl w:val="0"/>
          <w:numId w:val="23"/>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3"/>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必要时，CQM与获证客户沟通，核实证据；</w:t>
      </w:r>
    </w:p>
    <w:p>
      <w:pPr>
        <w:numPr>
          <w:ilvl w:val="0"/>
          <w:numId w:val="23"/>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认证处置决定通知书</w:t>
      </w:r>
      <w:r>
        <w:rPr>
          <w:rFonts w:ascii="宋体" w:hAnsi="宋体"/>
          <w:bCs/>
          <w:sz w:val="24"/>
          <w:highlight w:val="none"/>
        </w:rPr>
        <w:t>》</w:t>
      </w:r>
      <w:r>
        <w:rPr>
          <w:rFonts w:hint="eastAsia" w:ascii="宋体" w:hAnsi="宋体" w:cs="宋体"/>
          <w:sz w:val="24"/>
          <w:highlight w:val="none"/>
        </w:rPr>
        <w:t>并公告；</w:t>
      </w:r>
    </w:p>
    <w:p>
      <w:pPr>
        <w:numPr>
          <w:ilvl w:val="0"/>
          <w:numId w:val="23"/>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获证客户按照《管理体系认证证书和认证标志、认可标识使用规则</w:t>
      </w:r>
      <w:r>
        <w:rPr>
          <w:rFonts w:ascii="宋体" w:hAnsi="宋体" w:cs="宋体"/>
          <w:sz w:val="24"/>
          <w:highlight w:val="none"/>
        </w:rPr>
        <w:t>》</w:t>
      </w:r>
      <w:r>
        <w:rPr>
          <w:rFonts w:hint="eastAsia" w:ascii="宋体" w:hAnsi="宋体" w:cs="宋体"/>
          <w:sz w:val="24"/>
          <w:highlight w:val="none"/>
        </w:rPr>
        <w:t>停止使用认证证书和认证标志,</w:t>
      </w:r>
      <w:r>
        <w:rPr>
          <w:rFonts w:hint="eastAsia" w:ascii="宋体" w:hAnsi="宋体"/>
          <w:bCs/>
          <w:sz w:val="24"/>
          <w:highlight w:val="none"/>
        </w:rPr>
        <w:t xml:space="preserve"> 在暂停期间，客户的管理体系认证暂时无效</w:t>
      </w:r>
      <w:r>
        <w:rPr>
          <w:rFonts w:hint="eastAsia" w:ascii="宋体" w:hAnsi="宋体" w:cs="宋体"/>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6.7.3暂停期限</w:t>
      </w:r>
    </w:p>
    <w:p>
      <w:pPr>
        <w:spacing w:line="360" w:lineRule="auto"/>
        <w:ind w:firstLine="600" w:firstLineChars="250"/>
        <w:rPr>
          <w:rFonts w:hint="eastAsia" w:ascii="宋体" w:hAnsi="宋体" w:cs="宋体"/>
          <w:sz w:val="24"/>
          <w:highlight w:val="none"/>
        </w:rPr>
      </w:pPr>
      <w:r>
        <w:rPr>
          <w:rFonts w:hint="eastAsia" w:ascii="宋体" w:hAnsi="宋体" w:cs="宋体"/>
          <w:sz w:val="24"/>
          <w:highlight w:val="none"/>
        </w:rPr>
        <w:t>认证资格暂停期最长不超过6个月。</w:t>
      </w:r>
    </w:p>
    <w:p>
      <w:pPr>
        <w:pStyle w:val="3"/>
        <w:spacing w:before="0" w:after="0" w:line="360" w:lineRule="auto"/>
        <w:rPr>
          <w:rFonts w:hint="eastAsia" w:ascii="宋体" w:hAnsi="宋体" w:eastAsia="宋体"/>
          <w:sz w:val="24"/>
          <w:szCs w:val="24"/>
          <w:highlight w:val="none"/>
        </w:rPr>
      </w:pPr>
      <w:bookmarkStart w:id="105" w:name="_Toc85105522"/>
      <w:bookmarkStart w:id="106" w:name="_Toc85103633"/>
      <w:bookmarkStart w:id="107" w:name="_Toc85256258"/>
      <w:bookmarkStart w:id="108" w:name="_Toc444776343"/>
      <w:bookmarkStart w:id="109" w:name="_Toc185325636"/>
      <w:r>
        <w:rPr>
          <w:rFonts w:hint="eastAsia" w:ascii="宋体" w:hAnsi="宋体" w:eastAsia="宋体"/>
          <w:sz w:val="24"/>
          <w:szCs w:val="24"/>
          <w:highlight w:val="none"/>
        </w:rPr>
        <w:t>6.</w:t>
      </w:r>
      <w:r>
        <w:rPr>
          <w:rFonts w:hint="eastAsia" w:ascii="宋体" w:hAnsi="宋体" w:eastAsia="宋体"/>
          <w:sz w:val="24"/>
          <w:szCs w:val="24"/>
          <w:highlight w:val="none"/>
          <w:lang w:eastAsia="zh-CN"/>
        </w:rPr>
        <w:t>8</w:t>
      </w:r>
      <w:r>
        <w:rPr>
          <w:rFonts w:hint="eastAsia" w:ascii="宋体" w:hAnsi="宋体" w:eastAsia="宋体"/>
          <w:sz w:val="24"/>
          <w:szCs w:val="24"/>
          <w:highlight w:val="none"/>
        </w:rPr>
        <w:t xml:space="preserve"> 恢复认证资格的条件</w:t>
      </w:r>
      <w:bookmarkEnd w:id="105"/>
      <w:bookmarkEnd w:id="106"/>
      <w:bookmarkEnd w:id="107"/>
      <w:r>
        <w:rPr>
          <w:rFonts w:hint="eastAsia" w:ascii="宋体" w:hAnsi="宋体" w:eastAsia="宋体"/>
          <w:sz w:val="24"/>
          <w:szCs w:val="24"/>
          <w:highlight w:val="none"/>
        </w:rPr>
        <w:t>和程序</w:t>
      </w:r>
      <w:bookmarkEnd w:id="108"/>
      <w:bookmarkEnd w:id="109"/>
    </w:p>
    <w:p>
      <w:pPr>
        <w:spacing w:line="360" w:lineRule="auto"/>
        <w:rPr>
          <w:rFonts w:hint="eastAsia" w:ascii="宋体" w:hAnsi="宋体"/>
          <w:bCs/>
          <w:sz w:val="24"/>
          <w:highlight w:val="none"/>
        </w:rPr>
      </w:pPr>
      <w:r>
        <w:rPr>
          <w:rFonts w:hint="eastAsia" w:ascii="宋体" w:hAnsi="宋体"/>
          <w:bCs/>
          <w:sz w:val="24"/>
          <w:highlight w:val="none"/>
        </w:rPr>
        <w:t>6.8.1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sz w:val="24"/>
          <w:highlight w:val="none"/>
        </w:rPr>
        <w:t>6.8.2 恢复认证资格的程序</w:t>
      </w:r>
    </w:p>
    <w:p>
      <w:pPr>
        <w:numPr>
          <w:ilvl w:val="0"/>
          <w:numId w:val="24"/>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4"/>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4"/>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bookmarkEnd w:id="68"/>
    <w:bookmarkEnd w:id="69"/>
    <w:bookmarkEnd w:id="70"/>
    <w:bookmarkEnd w:id="71"/>
    <w:bookmarkEnd w:id="72"/>
    <w:bookmarkEnd w:id="73"/>
    <w:bookmarkEnd w:id="74"/>
    <w:p>
      <w:pPr>
        <w:pStyle w:val="3"/>
        <w:spacing w:before="0" w:after="0" w:line="360" w:lineRule="auto"/>
        <w:rPr>
          <w:rFonts w:hint="eastAsia" w:ascii="宋体" w:hAnsi="宋体" w:eastAsia="宋体"/>
          <w:sz w:val="24"/>
          <w:szCs w:val="24"/>
          <w:highlight w:val="none"/>
        </w:rPr>
      </w:pPr>
      <w:bookmarkStart w:id="110" w:name="_Toc85256260"/>
      <w:bookmarkStart w:id="111" w:name="_Toc85105524"/>
      <w:bookmarkStart w:id="112" w:name="_Toc85103635"/>
      <w:bookmarkStart w:id="113" w:name="_Toc185325638"/>
      <w:bookmarkStart w:id="114" w:name="_Toc444776345"/>
      <w:r>
        <w:rPr>
          <w:rFonts w:hint="eastAsia" w:ascii="宋体" w:hAnsi="宋体" w:eastAsia="宋体"/>
          <w:sz w:val="24"/>
          <w:szCs w:val="24"/>
          <w:highlight w:val="none"/>
        </w:rPr>
        <w:t>6.</w:t>
      </w:r>
      <w:r>
        <w:rPr>
          <w:rFonts w:hint="eastAsia" w:ascii="宋体" w:hAnsi="宋体" w:eastAsia="宋体"/>
          <w:sz w:val="24"/>
          <w:szCs w:val="24"/>
          <w:highlight w:val="none"/>
          <w:lang w:eastAsia="zh-CN"/>
        </w:rPr>
        <w:t>9</w:t>
      </w:r>
      <w:r>
        <w:rPr>
          <w:rFonts w:hint="eastAsia" w:ascii="宋体" w:hAnsi="宋体" w:eastAsia="宋体"/>
          <w:sz w:val="24"/>
          <w:szCs w:val="24"/>
          <w:highlight w:val="none"/>
        </w:rPr>
        <w:t xml:space="preserve"> 撤销认证资格的条件</w:t>
      </w:r>
      <w:bookmarkEnd w:id="110"/>
      <w:bookmarkEnd w:id="111"/>
      <w:bookmarkEnd w:id="112"/>
      <w:r>
        <w:rPr>
          <w:rFonts w:hint="eastAsia" w:ascii="宋体" w:hAnsi="宋体" w:eastAsia="宋体"/>
          <w:sz w:val="24"/>
          <w:szCs w:val="24"/>
          <w:highlight w:val="none"/>
        </w:rPr>
        <w:t>和程序</w:t>
      </w:r>
      <w:bookmarkEnd w:id="113"/>
      <w:bookmarkEnd w:id="114"/>
    </w:p>
    <w:p>
      <w:pPr>
        <w:spacing w:line="360" w:lineRule="auto"/>
        <w:rPr>
          <w:rFonts w:hint="eastAsia" w:ascii="宋体" w:hAnsi="宋体"/>
          <w:bCs/>
          <w:sz w:val="24"/>
          <w:highlight w:val="none"/>
        </w:rPr>
      </w:pPr>
      <w:r>
        <w:rPr>
          <w:rFonts w:hint="eastAsia" w:ascii="宋体" w:hAnsi="宋体"/>
          <w:bCs/>
          <w:sz w:val="24"/>
          <w:highlight w:val="none"/>
        </w:rPr>
        <w:t>6.9.1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获证客户审核未通过。</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获证客户被注销或撤销法律地位证明文件。</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获证客户的法律地位、资质不再符合国家的最新要求；</w:t>
      </w:r>
    </w:p>
    <w:p>
      <w:pPr>
        <w:pStyle w:val="7"/>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获证客户拒绝配合认证监管部门实施的监督检查，或者对有关事项的询问和调查提供了虚假材料或信息。</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获证客户出现重大的</w:t>
      </w:r>
      <w:r>
        <w:rPr>
          <w:rFonts w:hint="eastAsia" w:ascii="宋体" w:hAnsi="宋体"/>
          <w:sz w:val="24"/>
          <w:highlight w:val="none"/>
        </w:rPr>
        <w:t>信息安全泄露事故或信息技术服务</w:t>
      </w:r>
      <w:r>
        <w:rPr>
          <w:rFonts w:hint="eastAsia" w:ascii="宋体" w:hAnsi="宋体"/>
          <w:bCs/>
          <w:iCs/>
          <w:sz w:val="24"/>
          <w:highlight w:val="none"/>
        </w:rPr>
        <w:t>事故等，经执法监管部门确认是获证客户违规造成。</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获证客户于获证期间在认证范围内发生国家</w:t>
      </w:r>
      <w:r>
        <w:rPr>
          <w:rFonts w:hint="eastAsia" w:ascii="宋体" w:hAnsi="宋体"/>
          <w:color w:val="000000"/>
          <w:sz w:val="24"/>
          <w:highlight w:val="none"/>
        </w:rPr>
        <w:t>抽</w:t>
      </w:r>
      <w:r>
        <w:rPr>
          <w:rFonts w:ascii="宋体" w:hAnsi="宋体"/>
          <w:color w:val="000000"/>
          <w:sz w:val="24"/>
          <w:highlight w:val="none"/>
        </w:rPr>
        <w:t>检不合格，并造成严重影响</w:t>
      </w:r>
      <w:r>
        <w:rPr>
          <w:rFonts w:hint="eastAsia" w:ascii="宋体" w:hAnsi="宋体"/>
          <w:color w:val="000000"/>
          <w:sz w:val="24"/>
          <w:highlight w:val="none"/>
        </w:rPr>
        <w:t>。</w:t>
      </w:r>
    </w:p>
    <w:p>
      <w:pPr>
        <w:pStyle w:val="7"/>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获证客户在证书有效期间有其他严重违反法律法规行为，受到相关执法监管部门处罚。</w:t>
      </w:r>
    </w:p>
    <w:p>
      <w:pPr>
        <w:pStyle w:val="7"/>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获证客户没有运行管理体系或者已不具备运行条件。</w:t>
      </w:r>
    </w:p>
    <w:p>
      <w:pPr>
        <w:pStyle w:val="7"/>
        <w:spacing w:after="0"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)获证客户在认证范围内的管理体系发生重大变更，未向CQM通报，并在短期内无法满足认证要求；</w:t>
      </w:r>
    </w:p>
    <w:p>
      <w:pPr>
        <w:pStyle w:val="7"/>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获证客户体制变更后原管理体系已不再适宜；</w:t>
      </w:r>
    </w:p>
    <w:p>
      <w:pPr>
        <w:pStyle w:val="7"/>
        <w:spacing w:after="0" w:line="360" w:lineRule="auto"/>
        <w:rPr>
          <w:rFonts w:hint="eastAsia" w:ascii="宋体" w:hAnsi="宋体"/>
          <w:bCs/>
          <w:iCs/>
          <w:sz w:val="24"/>
          <w:highlight w:val="none"/>
        </w:rPr>
      </w:pPr>
      <w:r>
        <w:rPr>
          <w:rFonts w:hint="eastAsia" w:ascii="宋体" w:hAnsi="宋体"/>
          <w:bCs/>
          <w:iCs/>
          <w:sz w:val="24"/>
          <w:highlight w:val="none"/>
        </w:rPr>
        <w:t>c) 获证客户不再</w:t>
      </w:r>
      <w:r>
        <w:rPr>
          <w:rFonts w:hint="eastAsia" w:ascii="宋体" w:hAnsi="宋体"/>
          <w:bCs/>
          <w:iCs/>
          <w:sz w:val="24"/>
          <w:highlight w:val="none"/>
          <w:lang w:eastAsia="zh-CN"/>
        </w:rPr>
        <w:t>进行</w:t>
      </w:r>
      <w:r>
        <w:rPr>
          <w:rFonts w:hint="eastAsia" w:ascii="宋体" w:hAnsi="宋体"/>
          <w:bCs/>
          <w:iCs/>
          <w:sz w:val="24"/>
          <w:highlight w:val="none"/>
        </w:rPr>
        <w:t>体系覆盖内</w:t>
      </w:r>
      <w:r>
        <w:rPr>
          <w:rFonts w:hint="eastAsia" w:ascii="宋体" w:hAnsi="宋体"/>
          <w:bCs/>
          <w:iCs/>
          <w:sz w:val="24"/>
          <w:highlight w:val="none"/>
          <w:lang w:eastAsia="zh-CN"/>
        </w:rPr>
        <w:t>的信息技术服务和信息安全服务</w:t>
      </w:r>
      <w:r>
        <w:rPr>
          <w:rFonts w:hint="eastAsia" w:ascii="宋体" w:hAnsi="宋体"/>
          <w:bCs/>
          <w:iCs/>
          <w:sz w:val="24"/>
          <w:highlight w:val="none"/>
        </w:rPr>
        <w:t>；</w:t>
      </w:r>
    </w:p>
    <w:p>
      <w:pPr>
        <w:pStyle w:val="7"/>
        <w:spacing w:after="0" w:line="360" w:lineRule="auto"/>
        <w:rPr>
          <w:rFonts w:hint="eastAsia" w:ascii="宋体" w:hAnsi="宋体"/>
          <w:bCs/>
          <w:iCs/>
          <w:sz w:val="24"/>
          <w:highlight w:val="none"/>
        </w:rPr>
      </w:pPr>
      <w:r>
        <w:rPr>
          <w:rFonts w:hint="eastAsia" w:ascii="宋体" w:hAnsi="宋体"/>
          <w:bCs/>
          <w:iCs/>
          <w:sz w:val="24"/>
          <w:highlight w:val="none"/>
        </w:rPr>
        <w:t xml:space="preserve">d) </w:t>
      </w:r>
      <w:r>
        <w:rPr>
          <w:rFonts w:ascii="宋体" w:hAnsi="宋体"/>
          <w:bCs/>
          <w:iCs/>
          <w:sz w:val="24"/>
          <w:highlight w:val="none"/>
        </w:rPr>
        <w:t>获证客户在认证范围内的组织单元、服务及其过程和活动严重不能满足适用的最新法律法规和标准的要求，并在短期内无法采取措施或采取措施无效的；</w:t>
      </w:r>
    </w:p>
    <w:p>
      <w:pPr>
        <w:pStyle w:val="7"/>
        <w:spacing w:after="0" w:line="360" w:lineRule="auto"/>
        <w:rPr>
          <w:rFonts w:hint="eastAsia" w:ascii="宋体" w:hAnsi="宋体"/>
          <w:bCs/>
          <w:iCs/>
          <w:sz w:val="24"/>
          <w:highlight w:val="none"/>
          <w:lang w:eastAsia="zh-CN"/>
        </w:rPr>
      </w:pPr>
      <w:r>
        <w:rPr>
          <w:rFonts w:hint="eastAsia" w:ascii="宋体" w:hAnsi="宋体"/>
          <w:bCs/>
          <w:iCs/>
          <w:sz w:val="24"/>
          <w:highlight w:val="none"/>
        </w:rPr>
        <w:t>e</w:t>
      </w:r>
      <w:r>
        <w:rPr>
          <w:rFonts w:ascii="宋体" w:hAnsi="宋体"/>
          <w:bCs/>
          <w:iCs/>
          <w:sz w:val="24"/>
          <w:highlight w:val="none"/>
        </w:rPr>
        <w:t>)获证客户</w:t>
      </w:r>
      <w:r>
        <w:rPr>
          <w:rFonts w:hint="eastAsia" w:ascii="宋体" w:hAnsi="宋体"/>
          <w:bCs/>
          <w:iCs/>
          <w:sz w:val="24"/>
          <w:highlight w:val="none"/>
        </w:rPr>
        <w:t>停业或关闭</w:t>
      </w:r>
      <w:r>
        <w:rPr>
          <w:rFonts w:ascii="宋体" w:hAnsi="宋体"/>
          <w:bCs/>
          <w:iCs/>
          <w:sz w:val="24"/>
          <w:highlight w:val="none"/>
        </w:rPr>
        <w:t>的</w:t>
      </w:r>
      <w:r>
        <w:rPr>
          <w:rFonts w:hint="eastAsia" w:ascii="宋体" w:hAnsi="宋体"/>
          <w:bCs/>
          <w:iCs/>
          <w:sz w:val="24"/>
          <w:highlight w:val="none"/>
        </w:rPr>
        <w:t>。</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获证客户不按相关规定正确引用和宣传获得的认证信息，造成严重影响或后果，或者认证机构已要求其纠正但超过</w:t>
      </w:r>
      <w:r>
        <w:rPr>
          <w:rFonts w:hint="eastAsia" w:ascii="宋体" w:hAnsi="宋体"/>
          <w:bCs/>
          <w:iCs/>
          <w:sz w:val="24"/>
          <w:highlight w:val="none"/>
          <w:lang w:eastAsia="zh-CN"/>
        </w:rPr>
        <w:t>2</w:t>
      </w:r>
      <w:r>
        <w:rPr>
          <w:rFonts w:hint="eastAsia" w:ascii="宋体" w:hAnsi="宋体"/>
          <w:bCs/>
          <w:iCs/>
          <w:sz w:val="24"/>
          <w:highlight w:val="none"/>
        </w:rPr>
        <w:t>个月仍未纠正。</w:t>
      </w:r>
    </w:p>
    <w:p>
      <w:pPr>
        <w:pStyle w:val="7"/>
        <w:spacing w:after="0"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获证客户在获证期间发生大量误用认证证书和认证标志，并未能及时有效地采取纠正和纠正措施，误导消费者，影响面大；</w:t>
      </w:r>
    </w:p>
    <w:p>
      <w:pPr>
        <w:pStyle w:val="7"/>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获证客户转让认证证书和认证标志；</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获证客户发生了与</w:t>
      </w:r>
      <w:r>
        <w:rPr>
          <w:rFonts w:hint="eastAsia" w:ascii="宋体" w:hAnsi="宋体"/>
          <w:sz w:val="24"/>
          <w:highlight w:val="none"/>
        </w:rPr>
        <w:t>信息安全泄露事故或信息技术服务</w:t>
      </w:r>
      <w:r>
        <w:rPr>
          <w:rFonts w:hint="eastAsia" w:ascii="宋体" w:hAnsi="宋体"/>
          <w:bCs/>
          <w:iCs/>
          <w:sz w:val="24"/>
          <w:highlight w:val="none"/>
        </w:rPr>
        <w:t>有关的重大事故，反映出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获证客户因换发新证而撤销旧证书。</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获证客户不承担、履行认证合同约定的责任和义务。</w:t>
      </w:r>
    </w:p>
    <w:p>
      <w:pPr>
        <w:pStyle w:val="7"/>
        <w:spacing w:after="0"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7"/>
        <w:spacing w:after="0"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7"/>
        <w:spacing w:after="0"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7"/>
        <w:spacing w:after="0"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7"/>
        <w:spacing w:after="0" w:line="360" w:lineRule="auto"/>
        <w:rPr>
          <w:rFonts w:hint="eastAsia"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7"/>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获证客户主动放弃认证。</w:t>
      </w:r>
    </w:p>
    <w:p>
      <w:pPr>
        <w:pStyle w:val="7"/>
        <w:spacing w:after="0" w:line="360" w:lineRule="auto"/>
        <w:ind w:left="0" w:leftChars="0"/>
        <w:rPr>
          <w:rFonts w:hint="eastAsia" w:ascii="宋体" w:hAnsi="宋体"/>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其他原因需要撤销证书。</w:t>
      </w:r>
    </w:p>
    <w:p>
      <w:pPr>
        <w:spacing w:line="360" w:lineRule="auto"/>
        <w:rPr>
          <w:rFonts w:hint="eastAsia" w:ascii="宋体" w:hAnsi="宋体"/>
          <w:bCs/>
          <w:sz w:val="24"/>
          <w:highlight w:val="none"/>
        </w:rPr>
      </w:pPr>
      <w:r>
        <w:rPr>
          <w:rFonts w:hint="eastAsia" w:ascii="宋体" w:hAnsi="宋体"/>
          <w:bCs/>
          <w:sz w:val="24"/>
          <w:highlight w:val="none"/>
        </w:rPr>
        <w:t>6.9.2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sz w:val="24"/>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w:t>
      </w:r>
      <w:r>
        <w:rPr>
          <w:rFonts w:hint="eastAsia" w:ascii="宋体" w:hAnsi="宋体"/>
          <w:sz w:val="24"/>
          <w:highlight w:val="none"/>
        </w:rPr>
        <w:t>同时收回认证证书,认证客户不得再使用认证证书和认证标志。</w:t>
      </w:r>
    </w:p>
    <w:p>
      <w:pPr>
        <w:spacing w:line="360" w:lineRule="auto"/>
        <w:ind w:firstLine="480" w:firstLineChars="200"/>
        <w:jc w:val="left"/>
        <w:rPr>
          <w:rFonts w:hint="eastAsia" w:ascii="宋体" w:hAnsi="宋体"/>
          <w:sz w:val="24"/>
          <w:highlight w:val="none"/>
        </w:rPr>
      </w:pPr>
    </w:p>
    <w:p>
      <w:pPr>
        <w:pStyle w:val="2"/>
        <w:spacing w:line="360" w:lineRule="auto"/>
        <w:rPr>
          <w:rFonts w:hint="eastAsia" w:ascii="宋体" w:hAnsi="宋体"/>
          <w:szCs w:val="24"/>
          <w:highlight w:val="none"/>
        </w:rPr>
      </w:pPr>
      <w:bookmarkStart w:id="115" w:name="_Toc185325639"/>
      <w:bookmarkStart w:id="116" w:name="_Toc444776346"/>
      <w:bookmarkStart w:id="117" w:name="_Toc85103636"/>
      <w:bookmarkStart w:id="118" w:name="_Toc85105525"/>
      <w:bookmarkStart w:id="119" w:name="_Toc85256261"/>
      <w:r>
        <w:rPr>
          <w:rFonts w:hint="eastAsia" w:ascii="宋体" w:hAnsi="宋体"/>
          <w:szCs w:val="24"/>
          <w:highlight w:val="none"/>
        </w:rPr>
        <w:t>7 认证证书和认证标志</w:t>
      </w:r>
      <w:bookmarkEnd w:id="115"/>
      <w:bookmarkEnd w:id="116"/>
      <w:bookmarkEnd w:id="117"/>
      <w:bookmarkEnd w:id="118"/>
      <w:bookmarkEnd w:id="119"/>
    </w:p>
    <w:p>
      <w:pPr>
        <w:pStyle w:val="3"/>
        <w:spacing w:before="0" w:after="0" w:line="360" w:lineRule="auto"/>
        <w:rPr>
          <w:rFonts w:hint="eastAsia" w:ascii="宋体" w:hAnsi="宋体" w:eastAsia="宋体"/>
          <w:sz w:val="24"/>
          <w:szCs w:val="24"/>
          <w:highlight w:val="none"/>
        </w:rPr>
      </w:pPr>
      <w:bookmarkStart w:id="120" w:name="_Toc85105526"/>
      <w:bookmarkStart w:id="121" w:name="_Toc85256262"/>
      <w:bookmarkStart w:id="122" w:name="_Toc85103637"/>
      <w:bookmarkStart w:id="123" w:name="_Toc444776347"/>
      <w:bookmarkStart w:id="124" w:name="_Toc185325640"/>
      <w:r>
        <w:rPr>
          <w:rFonts w:hint="eastAsia" w:ascii="宋体" w:hAnsi="宋体" w:eastAsia="宋体"/>
          <w:sz w:val="24"/>
          <w:szCs w:val="24"/>
          <w:highlight w:val="none"/>
        </w:rPr>
        <w:t>7.1 认证证书和认证标志</w:t>
      </w:r>
      <w:bookmarkEnd w:id="120"/>
      <w:bookmarkEnd w:id="121"/>
      <w:bookmarkEnd w:id="122"/>
      <w:bookmarkEnd w:id="123"/>
      <w:bookmarkEnd w:id="124"/>
    </w:p>
    <w:p>
      <w:pPr>
        <w:spacing w:line="360" w:lineRule="auto"/>
        <w:rPr>
          <w:rFonts w:hint="eastAsia" w:ascii="宋体" w:hAnsi="宋体"/>
          <w:sz w:val="24"/>
          <w:highlight w:val="none"/>
        </w:rPr>
      </w:pPr>
      <w:r>
        <w:rPr>
          <w:rFonts w:hint="eastAsia" w:ascii="宋体" w:hAnsi="宋体"/>
          <w:sz w:val="24"/>
          <w:highlight w:val="none"/>
        </w:rPr>
        <w:t>7.1.1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。如获证客户要求继续使用认证证书，应在证书有效期内接受再认证。</w:t>
      </w:r>
    </w:p>
    <w:p>
      <w:pPr>
        <w:spacing w:line="360" w:lineRule="auto"/>
        <w:rPr>
          <w:rFonts w:hint="eastAsia" w:ascii="宋体" w:hAnsi="宋体"/>
          <w:sz w:val="24"/>
          <w:highlight w:val="none"/>
        </w:rPr>
      </w:pPr>
      <w:r>
        <w:rPr>
          <w:rFonts w:hint="eastAsia" w:ascii="宋体" w:hAnsi="宋体"/>
          <w:sz w:val="24"/>
          <w:highlight w:val="none"/>
        </w:rPr>
        <w:t>7.1.2 认证标志</w:t>
      </w:r>
    </w:p>
    <w:p>
      <w:pPr>
        <w:spacing w:line="360" w:lineRule="auto"/>
        <w:ind w:firstLine="480" w:firstLineChars="200"/>
        <w:rPr>
          <w:rFonts w:hint="eastAsia" w:ascii="宋体" w:hAnsi="宋体"/>
          <w:sz w:val="24"/>
          <w:highlight w:val="none"/>
        </w:rPr>
      </w:pPr>
      <w:r>
        <w:rPr>
          <w:rFonts w:hint="eastAsia" w:ascii="宋体" w:hAnsi="宋体"/>
          <w:sz w:val="24"/>
          <w:highlight w:val="none"/>
        </w:rPr>
        <w:t>按CQM《管理体系认证证书和认证标志、认可标识使用规则》要求执行。</w:t>
      </w:r>
    </w:p>
    <w:p>
      <w:pPr>
        <w:pStyle w:val="3"/>
        <w:spacing w:before="0" w:after="0" w:line="360" w:lineRule="auto"/>
        <w:rPr>
          <w:rFonts w:hint="eastAsia" w:ascii="宋体" w:hAnsi="宋体" w:eastAsia="宋体"/>
          <w:sz w:val="24"/>
          <w:szCs w:val="24"/>
          <w:highlight w:val="none"/>
        </w:rPr>
      </w:pPr>
      <w:bookmarkStart w:id="125" w:name="_Toc85256263"/>
      <w:bookmarkStart w:id="126" w:name="_Toc444776348"/>
      <w:bookmarkStart w:id="127" w:name="_Toc185325641"/>
      <w:bookmarkStart w:id="128" w:name="_Toc85105527"/>
      <w:r>
        <w:rPr>
          <w:rFonts w:hint="eastAsia" w:ascii="宋体" w:hAnsi="宋体" w:eastAsia="宋体"/>
          <w:sz w:val="24"/>
          <w:szCs w:val="24"/>
          <w:highlight w:val="none"/>
        </w:rPr>
        <w:t>7.2 认证证书和认证标志的使用</w:t>
      </w:r>
      <w:bookmarkEnd w:id="125"/>
      <w:bookmarkEnd w:id="126"/>
      <w:bookmarkEnd w:id="127"/>
      <w:bookmarkEnd w:id="128"/>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获证客户应建立认证证书和认证标志的使用方案，获证后按照《管理体系认证证书和认证标志、认可标识使用规则</w:t>
      </w:r>
      <w:r>
        <w:rPr>
          <w:rFonts w:ascii="宋体" w:hAnsi="宋体"/>
          <w:sz w:val="24"/>
          <w:highlight w:val="none"/>
        </w:rPr>
        <w:t>》</w:t>
      </w:r>
      <w:r>
        <w:rPr>
          <w:rFonts w:hint="eastAsia" w:ascii="宋体" w:hAnsi="宋体"/>
          <w:sz w:val="24"/>
          <w:highlight w:val="none"/>
        </w:rPr>
        <w:t>正确使用认证证书和认证标志。</w:t>
      </w:r>
    </w:p>
    <w:p>
      <w:pPr>
        <w:pStyle w:val="3"/>
        <w:spacing w:before="0" w:after="0" w:line="360" w:lineRule="auto"/>
        <w:rPr>
          <w:rFonts w:hint="eastAsia" w:ascii="宋体" w:hAnsi="宋体" w:eastAsia="宋体"/>
          <w:sz w:val="24"/>
          <w:szCs w:val="24"/>
          <w:highlight w:val="none"/>
        </w:rPr>
      </w:pPr>
      <w:bookmarkStart w:id="129" w:name="_Toc185325642"/>
      <w:bookmarkStart w:id="130" w:name="_Toc444776349"/>
      <w:bookmarkStart w:id="131" w:name="_Toc85105528"/>
      <w:bookmarkStart w:id="132" w:name="_Toc85256264"/>
      <w:bookmarkStart w:id="133" w:name="_Toc85103638"/>
      <w:r>
        <w:rPr>
          <w:rFonts w:hint="eastAsia" w:ascii="宋体" w:hAnsi="宋体" w:eastAsia="宋体"/>
          <w:sz w:val="24"/>
          <w:szCs w:val="24"/>
          <w:highlight w:val="none"/>
        </w:rPr>
        <w:t>7.3 认证证书和认证标志的误用</w:t>
      </w:r>
      <w:bookmarkEnd w:id="129"/>
      <w:bookmarkEnd w:id="130"/>
      <w:bookmarkEnd w:id="131"/>
      <w:bookmarkEnd w:id="132"/>
      <w:bookmarkEnd w:id="133"/>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见《管理体系管理体系认证证书和认证标志、认可标识使用规则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134" w:name="_Toc33599723"/>
      <w:bookmarkStart w:id="135" w:name="_Toc33600386"/>
      <w:bookmarkStart w:id="136" w:name="_Toc33600430"/>
      <w:bookmarkStart w:id="137" w:name="_Toc33599596"/>
    </w:p>
    <w:p>
      <w:pPr>
        <w:spacing w:line="360" w:lineRule="auto"/>
        <w:ind w:firstLine="480" w:firstLineChars="200"/>
        <w:rPr>
          <w:rFonts w:hint="eastAsia" w:ascii="宋体" w:hAnsi="宋体"/>
          <w:sz w:val="24"/>
          <w:highlight w:val="none"/>
        </w:rPr>
      </w:pPr>
    </w:p>
    <w:bookmarkEnd w:id="134"/>
    <w:bookmarkEnd w:id="135"/>
    <w:bookmarkEnd w:id="136"/>
    <w:bookmarkEnd w:id="137"/>
    <w:p>
      <w:pPr>
        <w:pStyle w:val="2"/>
        <w:spacing w:line="360" w:lineRule="auto"/>
        <w:rPr>
          <w:rFonts w:hint="eastAsia" w:ascii="宋体" w:hAnsi="宋体"/>
          <w:szCs w:val="24"/>
          <w:highlight w:val="none"/>
        </w:rPr>
      </w:pPr>
      <w:bookmarkStart w:id="138" w:name="_Toc444776350"/>
      <w:bookmarkStart w:id="139" w:name="_Toc185325643"/>
      <w:r>
        <w:rPr>
          <w:rFonts w:ascii="宋体" w:hAnsi="宋体"/>
          <w:szCs w:val="24"/>
          <w:highlight w:val="none"/>
        </w:rPr>
        <w:t>8</w:t>
      </w:r>
      <w:r>
        <w:rPr>
          <w:rFonts w:hint="eastAsia" w:ascii="宋体" w:hAnsi="宋体"/>
          <w:szCs w:val="24"/>
          <w:highlight w:val="none"/>
        </w:rPr>
        <w:t xml:space="preserve"> </w:t>
      </w:r>
      <w:r>
        <w:rPr>
          <w:rFonts w:hint="eastAsia" w:ascii="宋体" w:hAnsi="宋体"/>
          <w:szCs w:val="24"/>
          <w:highlight w:val="none"/>
          <w:lang w:eastAsia="zh-CN"/>
        </w:rPr>
        <w:t>获证客户的</w:t>
      </w:r>
      <w:r>
        <w:rPr>
          <w:rFonts w:hint="eastAsia" w:ascii="宋体" w:hAnsi="宋体"/>
          <w:szCs w:val="24"/>
          <w:highlight w:val="none"/>
        </w:rPr>
        <w:t>信息通报</w:t>
      </w:r>
      <w:bookmarkEnd w:id="138"/>
      <w:bookmarkEnd w:id="139"/>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组织地址(包括：注册地址、认证地址、邮编)；   </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组织认证场所/服务点的增加；   </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管理体系文件、参与服务提供的其他方。（信息技术服务管理体系适用）、适用性声明及其版本的变化（信息安全管理体系适用）；         </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服务标准的变化；       </w:t>
      </w:r>
    </w:p>
    <w:p>
      <w:pPr>
        <w:numPr>
          <w:ilvl w:val="0"/>
          <w:numId w:val="25"/>
        </w:numPr>
        <w:spacing w:line="360" w:lineRule="auto"/>
        <w:rPr>
          <w:rFonts w:hint="eastAsia" w:ascii="宋体" w:hAnsi="宋体"/>
          <w:color w:val="000000"/>
          <w:sz w:val="24"/>
          <w:highlight w:val="none"/>
        </w:rPr>
      </w:pPr>
      <w:r>
        <w:rPr>
          <w:rFonts w:hint="eastAsia" w:ascii="宋体" w:hAnsi="宋体"/>
          <w:color w:val="000000"/>
          <w:sz w:val="24"/>
          <w:highlight w:val="none"/>
        </w:rPr>
        <w:t>商标等信息。</w:t>
      </w:r>
    </w:p>
    <w:p>
      <w:pPr>
        <w:spacing w:line="360" w:lineRule="auto"/>
        <w:rPr>
          <w:rFonts w:hint="eastAsia" w:ascii="宋体" w:hAnsi="宋体"/>
          <w:b/>
          <w:color w:val="000000"/>
          <w:sz w:val="24"/>
          <w:highlight w:val="none"/>
        </w:rPr>
      </w:pPr>
      <w:r>
        <w:rPr>
          <w:rFonts w:hint="eastAsia" w:ascii="宋体" w:hAnsi="宋体"/>
          <w:b/>
          <w:color w:val="000000"/>
          <w:sz w:val="24"/>
          <w:highlight w:val="none"/>
        </w:rPr>
        <w:t>8.1向CQM通报以下信息的要求：</w:t>
      </w:r>
    </w:p>
    <w:p>
      <w:pPr>
        <w:spacing w:line="360" w:lineRule="auto"/>
        <w:ind w:firstLine="360" w:firstLineChars="150"/>
        <w:rPr>
          <w:rFonts w:hint="eastAsia" w:ascii="宋体" w:hAnsi="宋体"/>
          <w:sz w:val="24"/>
          <w:highlight w:val="none"/>
        </w:rPr>
      </w:pPr>
      <w:r>
        <w:rPr>
          <w:rFonts w:hint="eastAsia" w:ascii="宋体" w:hAnsi="宋体"/>
          <w:sz w:val="24"/>
          <w:highlight w:val="none"/>
        </w:rPr>
        <w:t>1）业务、地点、组织结构变化等情况的信息（及时通报）；</w:t>
      </w:r>
    </w:p>
    <w:p>
      <w:pPr>
        <w:spacing w:line="360" w:lineRule="auto"/>
        <w:ind w:firstLine="360" w:firstLineChars="150"/>
        <w:rPr>
          <w:rFonts w:hint="eastAsia" w:ascii="宋体" w:hAnsi="宋体"/>
          <w:sz w:val="24"/>
          <w:highlight w:val="none"/>
        </w:rPr>
      </w:pPr>
      <w:r>
        <w:rPr>
          <w:rFonts w:hint="eastAsia" w:ascii="宋体" w:hAnsi="宋体"/>
          <w:sz w:val="24"/>
          <w:highlight w:val="none"/>
        </w:rPr>
        <w:t>2）顾客投诉的相关信息（每三个月通报一次）（信息技术服务管理体系适用）；</w:t>
      </w:r>
    </w:p>
    <w:p>
      <w:pPr>
        <w:spacing w:line="360" w:lineRule="auto"/>
        <w:ind w:firstLine="360" w:firstLineChars="150"/>
        <w:rPr>
          <w:rFonts w:hint="eastAsia" w:ascii="宋体" w:hAnsi="宋体"/>
          <w:sz w:val="24"/>
          <w:highlight w:val="none"/>
        </w:rPr>
      </w:pPr>
      <w:r>
        <w:rPr>
          <w:rFonts w:hint="eastAsia" w:ascii="宋体" w:hAnsi="宋体"/>
          <w:sz w:val="24"/>
          <w:highlight w:val="none"/>
        </w:rPr>
        <w:t>3）认证客户的体系文件、（</w:t>
      </w:r>
      <w:r>
        <w:rPr>
          <w:rFonts w:hint="eastAsia" w:ascii="宋体" w:hAnsi="宋体"/>
          <w:color w:val="000000"/>
          <w:sz w:val="24"/>
          <w:highlight w:val="none"/>
        </w:rPr>
        <w:t>参与服务提供的其他方</w:t>
      </w:r>
      <w:r>
        <w:rPr>
          <w:rFonts w:hint="eastAsia" w:ascii="宋体" w:hAnsi="宋体"/>
          <w:sz w:val="24"/>
          <w:highlight w:val="none"/>
        </w:rPr>
        <w:t>、服务点）信息的变化；</w:t>
      </w:r>
    </w:p>
    <w:p>
      <w:pPr>
        <w:spacing w:line="360" w:lineRule="auto"/>
        <w:ind w:firstLine="360" w:firstLineChars="150"/>
        <w:rPr>
          <w:rFonts w:hint="eastAsia" w:ascii="宋体" w:hAnsi="宋体"/>
          <w:sz w:val="24"/>
          <w:highlight w:val="none"/>
        </w:rPr>
      </w:pPr>
      <w:r>
        <w:rPr>
          <w:rFonts w:hint="eastAsia" w:ascii="宋体" w:hAnsi="宋体"/>
          <w:sz w:val="24"/>
          <w:highlight w:val="none"/>
        </w:rPr>
        <w:t>4）有严重信息安全、信息技术服务事故（包括已经或可能严重损害国家安全、社会秩序、公共利益或获证客户及其相关方的合法权益）的信息（及时通报）；</w:t>
      </w:r>
    </w:p>
    <w:p>
      <w:pPr>
        <w:spacing w:line="360" w:lineRule="auto"/>
        <w:ind w:firstLine="360" w:firstLineChars="150"/>
        <w:rPr>
          <w:rFonts w:hint="eastAsia" w:ascii="宋体" w:hAnsi="宋体"/>
          <w:sz w:val="24"/>
          <w:highlight w:val="none"/>
        </w:rPr>
      </w:pPr>
      <w:r>
        <w:rPr>
          <w:rFonts w:hint="eastAsia" w:ascii="宋体" w:hAnsi="宋体"/>
          <w:sz w:val="24"/>
          <w:highlight w:val="none"/>
        </w:rPr>
        <w:t>5）其他重要信息。（视情况）</w:t>
      </w:r>
    </w:p>
    <w:p>
      <w:pPr>
        <w:spacing w:line="360" w:lineRule="auto"/>
        <w:ind w:firstLine="480" w:firstLineChars="200"/>
        <w:rPr>
          <w:rFonts w:hint="eastAsia" w:ascii="宋体" w:hAnsi="宋体"/>
          <w:sz w:val="24"/>
          <w:highlight w:val="none"/>
        </w:rPr>
      </w:pPr>
      <w:bookmarkStart w:id="140" w:name="_Toc33599600"/>
      <w:bookmarkStart w:id="141" w:name="_Toc33599727"/>
      <w:bookmarkStart w:id="142" w:name="_Toc33600390"/>
      <w:bookmarkStart w:id="143" w:name="_Toc33600434"/>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当上述信息发生变更时，获证客户应填写《获证组织认证信息变更沟通单》，并及时反馈给CQM。变更信息反馈渠道及联系信息详见《获证组织认证信息变更沟通单》中的联系方式。</w:t>
      </w:r>
    </w:p>
    <w:p>
      <w:pPr>
        <w:spacing w:line="360" w:lineRule="auto"/>
        <w:ind w:firstLine="480" w:firstLineChars="200"/>
        <w:rPr>
          <w:rFonts w:hint="eastAsia" w:ascii="宋体" w:hAnsi="宋体"/>
          <w:sz w:val="24"/>
          <w:highlight w:val="none"/>
        </w:rPr>
      </w:pPr>
      <w:r>
        <w:rPr>
          <w:rFonts w:hint="eastAsia" w:ascii="宋体" w:hAnsi="宋体"/>
          <w:sz w:val="24"/>
          <w:highlight w:val="none"/>
        </w:rPr>
        <w:t>监督审核前，通过《监督审核通知单》回执及附件将企业</w:t>
      </w:r>
      <w:r>
        <w:rPr>
          <w:rFonts w:hint="eastAsia" w:ascii="宋体" w:hAnsi="宋体"/>
          <w:color w:val="000000"/>
          <w:sz w:val="24"/>
          <w:highlight w:val="none"/>
        </w:rPr>
        <w:t>参与服务提供的其他方</w:t>
      </w:r>
      <w:r>
        <w:rPr>
          <w:rFonts w:hint="eastAsia"/>
          <w:sz w:val="24"/>
          <w:highlight w:val="none"/>
        </w:rPr>
        <w:t>数量</w:t>
      </w:r>
      <w:r>
        <w:rPr>
          <w:rFonts w:hint="eastAsia" w:ascii="宋体" w:hAnsi="宋体"/>
          <w:sz w:val="24"/>
          <w:highlight w:val="none"/>
        </w:rPr>
        <w:t>变化信息</w:t>
      </w:r>
      <w:r>
        <w:rPr>
          <w:rFonts w:hint="eastAsia"/>
          <w:sz w:val="24"/>
          <w:highlight w:val="none"/>
        </w:rPr>
        <w:t>，服务点变化信息填写在申请书附录里</w:t>
      </w:r>
      <w:r>
        <w:rPr>
          <w:rFonts w:hint="eastAsia" w:ascii="宋体" w:hAnsi="宋体"/>
          <w:sz w:val="24"/>
          <w:highlight w:val="none"/>
        </w:rPr>
        <w:t>通报CQM。</w:t>
      </w:r>
    </w:p>
    <w:p>
      <w:pPr>
        <w:spacing w:line="360" w:lineRule="auto"/>
        <w:ind w:firstLine="480" w:firstLineChars="200"/>
        <w:rPr>
          <w:rFonts w:hint="eastAsia" w:ascii="宋体" w:hAnsi="宋体"/>
          <w:sz w:val="24"/>
          <w:highlight w:val="none"/>
        </w:rPr>
      </w:pPr>
    </w:p>
    <w:bookmarkEnd w:id="140"/>
    <w:bookmarkEnd w:id="141"/>
    <w:bookmarkEnd w:id="142"/>
    <w:bookmarkEnd w:id="143"/>
    <w:p>
      <w:pPr>
        <w:pStyle w:val="2"/>
        <w:spacing w:line="360" w:lineRule="auto"/>
        <w:rPr>
          <w:rFonts w:hint="eastAsia" w:ascii="宋体" w:hAnsi="宋体"/>
          <w:szCs w:val="24"/>
          <w:highlight w:val="none"/>
          <w:lang w:eastAsia="zh-CN"/>
        </w:rPr>
      </w:pPr>
      <w:bookmarkStart w:id="144" w:name="_Toc33599613"/>
      <w:bookmarkStart w:id="145" w:name="_Toc33600403"/>
      <w:bookmarkStart w:id="146" w:name="_Toc33599740"/>
      <w:bookmarkStart w:id="147" w:name="_Toc33600447"/>
      <w:bookmarkStart w:id="148" w:name="_Toc85103645"/>
      <w:bookmarkStart w:id="149" w:name="_Toc85256271"/>
      <w:bookmarkStart w:id="150" w:name="_Toc85105535"/>
      <w:bookmarkStart w:id="151" w:name="_Toc185325644"/>
      <w:bookmarkStart w:id="152" w:name="_Toc444776351"/>
      <w:r>
        <w:rPr>
          <w:rFonts w:hint="eastAsia" w:ascii="宋体" w:hAnsi="宋体"/>
          <w:szCs w:val="24"/>
          <w:highlight w:val="none"/>
        </w:rPr>
        <w:t>9 认证要求</w:t>
      </w:r>
      <w:bookmarkEnd w:id="144"/>
      <w:bookmarkEnd w:id="145"/>
      <w:bookmarkEnd w:id="146"/>
      <w:bookmarkEnd w:id="147"/>
      <w:r>
        <w:rPr>
          <w:rFonts w:hint="eastAsia" w:ascii="宋体" w:hAnsi="宋体"/>
          <w:szCs w:val="24"/>
          <w:highlight w:val="none"/>
        </w:rPr>
        <w:t>变更</w:t>
      </w:r>
      <w:bookmarkEnd w:id="148"/>
      <w:bookmarkEnd w:id="149"/>
      <w:bookmarkEnd w:id="150"/>
      <w:bookmarkEnd w:id="151"/>
      <w:r>
        <w:rPr>
          <w:rFonts w:hint="eastAsia" w:ascii="宋体" w:hAnsi="宋体"/>
          <w:szCs w:val="24"/>
          <w:highlight w:val="none"/>
          <w:lang w:eastAsia="zh-CN"/>
        </w:rPr>
        <w:t>的条件和程序</w:t>
      </w:r>
      <w:bookmarkEnd w:id="152"/>
    </w:p>
    <w:p>
      <w:pPr>
        <w:pStyle w:val="3"/>
        <w:spacing w:before="0" w:after="0" w:line="360" w:lineRule="auto"/>
        <w:rPr>
          <w:rFonts w:hint="eastAsia" w:ascii="宋体" w:hAnsi="宋体" w:eastAsia="宋体"/>
          <w:sz w:val="24"/>
          <w:szCs w:val="24"/>
          <w:highlight w:val="none"/>
        </w:rPr>
      </w:pPr>
      <w:bookmarkStart w:id="153" w:name="_Toc444776352"/>
      <w:r>
        <w:rPr>
          <w:rFonts w:hint="eastAsia" w:ascii="宋体" w:hAnsi="宋体" w:eastAsia="宋体"/>
          <w:sz w:val="24"/>
          <w:szCs w:val="24"/>
          <w:highlight w:val="none"/>
        </w:rPr>
        <w:t>9.1 认证要求变更的条件</w:t>
      </w:r>
      <w:bookmarkEnd w:id="153"/>
    </w:p>
    <w:p>
      <w:pPr>
        <w:numPr>
          <w:ilvl w:val="0"/>
          <w:numId w:val="26"/>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26"/>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26"/>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6"/>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pStyle w:val="3"/>
        <w:spacing w:before="0" w:after="0" w:line="360" w:lineRule="auto"/>
        <w:rPr>
          <w:rFonts w:hint="eastAsia" w:ascii="宋体" w:hAnsi="宋体" w:eastAsia="宋体"/>
          <w:sz w:val="24"/>
          <w:szCs w:val="24"/>
          <w:highlight w:val="none"/>
          <w:lang w:eastAsia="zh-CN"/>
        </w:rPr>
      </w:pPr>
      <w:bookmarkStart w:id="154" w:name="_Toc444776353"/>
      <w:r>
        <w:rPr>
          <w:rFonts w:hint="eastAsia" w:ascii="宋体" w:hAnsi="宋体" w:eastAsia="宋体"/>
          <w:sz w:val="24"/>
          <w:szCs w:val="24"/>
          <w:highlight w:val="none"/>
        </w:rPr>
        <w:t>9.</w:t>
      </w:r>
      <w:r>
        <w:rPr>
          <w:rFonts w:hint="eastAsia" w:ascii="宋体" w:hAnsi="宋体" w:eastAsia="宋体"/>
          <w:sz w:val="24"/>
          <w:szCs w:val="24"/>
          <w:highlight w:val="none"/>
          <w:lang w:eastAsia="zh-CN"/>
        </w:rPr>
        <w:t>2</w:t>
      </w:r>
      <w:r>
        <w:rPr>
          <w:rFonts w:hint="eastAsia" w:ascii="宋体" w:hAnsi="宋体" w:eastAsia="宋体"/>
          <w:sz w:val="24"/>
          <w:szCs w:val="24"/>
          <w:highlight w:val="none"/>
        </w:rPr>
        <w:t xml:space="preserve"> 认证要求变更的</w:t>
      </w:r>
      <w:r>
        <w:rPr>
          <w:rFonts w:hint="eastAsia" w:ascii="宋体" w:hAnsi="宋体" w:eastAsia="宋体"/>
          <w:sz w:val="24"/>
          <w:szCs w:val="24"/>
          <w:highlight w:val="none"/>
          <w:lang w:eastAsia="zh-CN"/>
        </w:rPr>
        <w:t>程序</w:t>
      </w:r>
      <w:bookmarkEnd w:id="154"/>
    </w:p>
    <w:p>
      <w:pPr>
        <w:numPr>
          <w:ilvl w:val="0"/>
          <w:numId w:val="27"/>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27"/>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27"/>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spacing w:line="360" w:lineRule="auto"/>
        <w:ind w:left="719"/>
        <w:rPr>
          <w:rFonts w:hint="eastAsia" w:ascii="宋体" w:hAnsi="宋体"/>
          <w:sz w:val="24"/>
          <w:highlight w:val="none"/>
        </w:rPr>
      </w:pPr>
    </w:p>
    <w:p>
      <w:pPr>
        <w:pStyle w:val="2"/>
        <w:spacing w:line="360" w:lineRule="auto"/>
        <w:rPr>
          <w:rFonts w:hint="eastAsia" w:ascii="宋体" w:hAnsi="宋体"/>
          <w:szCs w:val="24"/>
          <w:highlight w:val="none"/>
        </w:rPr>
      </w:pPr>
      <w:bookmarkStart w:id="155" w:name="_Toc85256272"/>
      <w:bookmarkStart w:id="156" w:name="_Toc33599614"/>
      <w:bookmarkStart w:id="157" w:name="_Toc33599741"/>
      <w:bookmarkStart w:id="158" w:name="_Toc33600448"/>
      <w:bookmarkStart w:id="159" w:name="_Toc33600404"/>
      <w:bookmarkStart w:id="160" w:name="_Toc85103646"/>
      <w:bookmarkStart w:id="161" w:name="_Toc85105536"/>
      <w:bookmarkStart w:id="162" w:name="_Toc444776354"/>
      <w:bookmarkStart w:id="163" w:name="_Toc185325645"/>
      <w:r>
        <w:rPr>
          <w:rFonts w:hint="eastAsia" w:ascii="宋体" w:hAnsi="宋体"/>
          <w:szCs w:val="24"/>
          <w:highlight w:val="none"/>
        </w:rPr>
        <w:t>10 保密</w:t>
      </w:r>
      <w:bookmarkEnd w:id="155"/>
      <w:bookmarkEnd w:id="156"/>
      <w:bookmarkEnd w:id="157"/>
      <w:bookmarkEnd w:id="158"/>
      <w:bookmarkEnd w:id="159"/>
      <w:bookmarkEnd w:id="160"/>
      <w:bookmarkEnd w:id="161"/>
      <w:bookmarkEnd w:id="162"/>
      <w:bookmarkEnd w:id="163"/>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164" w:name="_Toc33599615"/>
      <w:bookmarkStart w:id="165" w:name="_Toc33600405"/>
      <w:bookmarkStart w:id="166" w:name="_Toc33599742"/>
      <w:bookmarkStart w:id="167" w:name="_Toc33600449"/>
    </w:p>
    <w:p>
      <w:pPr>
        <w:spacing w:line="360" w:lineRule="auto"/>
        <w:ind w:firstLine="480"/>
        <w:rPr>
          <w:rFonts w:hint="eastAsia" w:ascii="宋体" w:hAnsi="宋体"/>
          <w:sz w:val="24"/>
          <w:highlight w:val="none"/>
        </w:rPr>
      </w:pPr>
    </w:p>
    <w:bookmarkEnd w:id="164"/>
    <w:bookmarkEnd w:id="165"/>
    <w:bookmarkEnd w:id="166"/>
    <w:bookmarkEnd w:id="167"/>
    <w:p>
      <w:pPr>
        <w:pStyle w:val="2"/>
        <w:spacing w:line="360" w:lineRule="auto"/>
        <w:rPr>
          <w:rFonts w:hint="eastAsia" w:ascii="宋体" w:hAnsi="宋体"/>
          <w:szCs w:val="24"/>
          <w:highlight w:val="none"/>
        </w:rPr>
      </w:pPr>
      <w:bookmarkStart w:id="168" w:name="_Toc85256273"/>
      <w:bookmarkStart w:id="169" w:name="_Toc444776355"/>
      <w:bookmarkStart w:id="170" w:name="_Toc185325646"/>
      <w:r>
        <w:rPr>
          <w:rFonts w:hint="eastAsia" w:ascii="宋体" w:hAnsi="宋体"/>
          <w:szCs w:val="24"/>
          <w:highlight w:val="none"/>
        </w:rPr>
        <w:t>11 申诉/投诉、争议及处理</w:t>
      </w:r>
      <w:bookmarkEnd w:id="168"/>
      <w:bookmarkEnd w:id="169"/>
      <w:bookmarkEnd w:id="170"/>
    </w:p>
    <w:p>
      <w:pPr>
        <w:pStyle w:val="12"/>
        <w:spacing w:after="0" w:line="360" w:lineRule="auto"/>
        <w:ind w:left="0" w:leftChars="0" w:firstLine="420" w:firstLineChars="175"/>
        <w:rPr>
          <w:rFonts w:hint="eastAsia" w:ascii="宋体" w:hAnsi="宋体"/>
          <w:sz w:val="24"/>
          <w:szCs w:val="24"/>
          <w:highlight w:val="none"/>
        </w:rPr>
      </w:pPr>
      <w:r>
        <w:rPr>
          <w:rFonts w:hint="eastAsia" w:ascii="宋体" w:hAnsi="宋体"/>
          <w:sz w:val="24"/>
          <w:szCs w:val="24"/>
          <w:highlight w:val="none"/>
        </w:rPr>
        <w:t>对CQM或审核人员违反国家认证法律、法规、认可机构有关规定、缺乏公正性及对认证的评价结果等有异议时，可以向CQM提出申诉、投诉。</w:t>
      </w:r>
    </w:p>
    <w:p>
      <w:pPr>
        <w:spacing w:line="360" w:lineRule="auto"/>
        <w:ind w:firstLine="480" w:firstLineChars="200"/>
        <w:rPr>
          <w:rFonts w:hint="eastAsia" w:ascii="宋体" w:hAnsi="宋体"/>
          <w:bCs/>
          <w:sz w:val="24"/>
          <w:highlight w:val="none"/>
        </w:rPr>
      </w:pPr>
      <w:r>
        <w:rPr>
          <w:rFonts w:hint="eastAsia" w:ascii="宋体" w:hAnsi="宋体"/>
          <w:bCs/>
          <w:sz w:val="24"/>
          <w:highlight w:val="none"/>
        </w:rPr>
        <w:t>CQM将在30日内答复处理情况。</w:t>
      </w:r>
    </w:p>
    <w:p>
      <w:pPr>
        <w:spacing w:line="360" w:lineRule="auto"/>
        <w:ind w:firstLine="480" w:firstLineChars="200"/>
        <w:rPr>
          <w:rFonts w:hint="eastAsia" w:ascii="宋体" w:hAnsi="宋体"/>
          <w:bCs/>
          <w:sz w:val="24"/>
          <w:highlight w:val="none"/>
        </w:rPr>
      </w:pPr>
      <w:r>
        <w:rPr>
          <w:rFonts w:hint="eastAsia" w:ascii="宋体" w:hAnsi="宋体"/>
          <w:bCs/>
          <w:sz w:val="24"/>
          <w:highlight w:val="none"/>
        </w:rPr>
        <w:t>对CQM申诉/投诉和争议的处理有异议时可向中国合格评定国家认可委员会、中国国家认证认可监督管理委员会等有关部门进一步申诉/投诉。</w:t>
      </w:r>
    </w:p>
    <w:p>
      <w:pPr>
        <w:spacing w:line="360" w:lineRule="auto"/>
        <w:ind w:firstLine="480" w:firstLineChars="200"/>
        <w:rPr>
          <w:rFonts w:hint="eastAsia" w:ascii="宋体" w:hAnsi="宋体"/>
          <w:bCs/>
          <w:sz w:val="24"/>
          <w:highlight w:val="none"/>
        </w:rPr>
      </w:pPr>
    </w:p>
    <w:p>
      <w:pPr>
        <w:pStyle w:val="2"/>
        <w:spacing w:line="360" w:lineRule="auto"/>
        <w:rPr>
          <w:rFonts w:hint="eastAsia" w:ascii="宋体" w:hAnsi="宋体"/>
          <w:szCs w:val="24"/>
          <w:highlight w:val="none"/>
        </w:rPr>
      </w:pPr>
      <w:bookmarkStart w:id="171" w:name="_Toc85103651"/>
      <w:bookmarkStart w:id="172" w:name="_Toc85256274"/>
      <w:bookmarkStart w:id="173" w:name="_Toc85105541"/>
      <w:bookmarkStart w:id="174" w:name="_Toc444776356"/>
      <w:bookmarkStart w:id="175" w:name="_Toc185325647"/>
      <w:r>
        <w:rPr>
          <w:rFonts w:hint="eastAsia" w:ascii="宋体" w:hAnsi="宋体"/>
          <w:szCs w:val="24"/>
          <w:highlight w:val="none"/>
        </w:rPr>
        <w:t>12 费用</w:t>
      </w:r>
      <w:bookmarkEnd w:id="171"/>
      <w:bookmarkEnd w:id="172"/>
      <w:bookmarkEnd w:id="173"/>
      <w:bookmarkEnd w:id="174"/>
      <w:bookmarkEnd w:id="175"/>
    </w:p>
    <w:p>
      <w:pPr>
        <w:spacing w:line="360" w:lineRule="auto"/>
        <w:ind w:firstLine="480"/>
        <w:rPr>
          <w:rFonts w:hint="eastAsia" w:ascii="宋体" w:hAnsi="宋体"/>
          <w:sz w:val="24"/>
          <w:highlight w:val="none"/>
        </w:rPr>
      </w:pPr>
      <w:r>
        <w:rPr>
          <w:rFonts w:hint="eastAsia" w:ascii="宋体" w:hAnsi="宋体"/>
          <w:sz w:val="24"/>
          <w:highlight w:val="none"/>
        </w:rPr>
        <w:t>实施本方案的费用，按CQM《信息技术服务管理体系和信息安全管理体系认证收费管理规则》执行。</w:t>
      </w:r>
      <w:bookmarkStart w:id="176" w:name="_Toc33599618"/>
      <w:bookmarkStart w:id="177" w:name="_Toc33600408"/>
      <w:bookmarkStart w:id="178" w:name="_Toc33599745"/>
      <w:bookmarkStart w:id="179" w:name="_Toc33600452"/>
    </w:p>
    <w:p>
      <w:pPr>
        <w:spacing w:line="360" w:lineRule="auto"/>
        <w:ind w:firstLine="480"/>
        <w:rPr>
          <w:rFonts w:hint="eastAsia" w:ascii="宋体" w:hAnsi="宋体"/>
          <w:sz w:val="24"/>
          <w:highlight w:val="none"/>
        </w:rPr>
      </w:pPr>
    </w:p>
    <w:p>
      <w:pPr>
        <w:pStyle w:val="2"/>
        <w:spacing w:line="360" w:lineRule="auto"/>
        <w:rPr>
          <w:rFonts w:hint="eastAsia" w:ascii="宋体" w:hAnsi="宋体"/>
          <w:szCs w:val="24"/>
          <w:highlight w:val="none"/>
        </w:rPr>
      </w:pPr>
      <w:bookmarkStart w:id="180" w:name="_Toc185325648"/>
      <w:bookmarkStart w:id="181" w:name="_Toc85256275"/>
      <w:bookmarkStart w:id="182" w:name="_Toc444776357"/>
      <w:bookmarkStart w:id="183" w:name="_Toc85103652"/>
      <w:bookmarkStart w:id="184" w:name="_Toc85105542"/>
      <w:r>
        <w:rPr>
          <w:rFonts w:hint="eastAsia" w:ascii="宋体" w:hAnsi="宋体"/>
          <w:szCs w:val="24"/>
          <w:highlight w:val="none"/>
        </w:rPr>
        <w:t>13 公告</w:t>
      </w:r>
      <w:bookmarkEnd w:id="176"/>
      <w:bookmarkEnd w:id="177"/>
      <w:bookmarkEnd w:id="178"/>
      <w:bookmarkEnd w:id="179"/>
      <w:bookmarkEnd w:id="180"/>
      <w:bookmarkEnd w:id="181"/>
      <w:bookmarkEnd w:id="182"/>
      <w:bookmarkEnd w:id="183"/>
      <w:bookmarkEnd w:id="184"/>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bookmarkStart w:id="185" w:name="_Toc33600409"/>
      <w:bookmarkStart w:id="186" w:name="_Toc33599746"/>
      <w:bookmarkStart w:id="187" w:name="_Toc33599619"/>
      <w:bookmarkStart w:id="188" w:name="_Toc33600453"/>
    </w:p>
    <w:p>
      <w:pPr>
        <w:spacing w:line="360" w:lineRule="auto"/>
        <w:ind w:firstLine="480"/>
        <w:rPr>
          <w:rFonts w:hint="eastAsia" w:ascii="宋体" w:hAnsi="宋体"/>
          <w:sz w:val="24"/>
          <w:highlight w:val="none"/>
        </w:rPr>
      </w:pPr>
    </w:p>
    <w:p>
      <w:pPr>
        <w:pStyle w:val="2"/>
        <w:spacing w:line="360" w:lineRule="auto"/>
        <w:rPr>
          <w:rFonts w:hint="eastAsia" w:ascii="宋体" w:hAnsi="宋体"/>
          <w:szCs w:val="24"/>
          <w:highlight w:val="none"/>
        </w:rPr>
      </w:pPr>
      <w:bookmarkStart w:id="189" w:name="_Toc85103653"/>
      <w:bookmarkStart w:id="190" w:name="_Toc444776358"/>
      <w:bookmarkStart w:id="191" w:name="_Toc85256276"/>
      <w:bookmarkStart w:id="192" w:name="_Toc85105543"/>
      <w:bookmarkStart w:id="193" w:name="_Toc185325649"/>
      <w:r>
        <w:rPr>
          <w:rFonts w:hint="eastAsia" w:ascii="宋体" w:hAnsi="宋体"/>
          <w:szCs w:val="24"/>
          <w:highlight w:val="none"/>
        </w:rPr>
        <w:t>14 附则</w:t>
      </w:r>
      <w:bookmarkEnd w:id="185"/>
      <w:bookmarkEnd w:id="186"/>
      <w:bookmarkEnd w:id="187"/>
      <w:bookmarkEnd w:id="188"/>
      <w:bookmarkEnd w:id="189"/>
      <w:bookmarkEnd w:id="190"/>
      <w:bookmarkEnd w:id="191"/>
      <w:bookmarkEnd w:id="192"/>
      <w:bookmarkEnd w:id="193"/>
    </w:p>
    <w:p>
      <w:pPr>
        <w:spacing w:line="360" w:lineRule="auto"/>
        <w:ind w:firstLine="480"/>
        <w:rPr>
          <w:rFonts w:hint="eastAsia" w:ascii="宋体" w:hAnsi="宋体"/>
          <w:sz w:val="24"/>
          <w:highlight w:val="none"/>
        </w:rPr>
      </w:pPr>
      <w:r>
        <w:rPr>
          <w:rFonts w:hint="eastAsia" w:ascii="宋体" w:hAnsi="宋体"/>
          <w:sz w:val="24"/>
          <w:highlight w:val="none"/>
        </w:rPr>
        <w:t>本方案由方圆标志认证集团有限公司负责解释。</w:t>
      </w:r>
    </w:p>
    <w:p>
      <w:pPr>
        <w:spacing w:line="360" w:lineRule="auto"/>
        <w:rPr>
          <w:rFonts w:hint="eastAsia" w:ascii="宋体" w:hAnsi="宋体"/>
          <w:sz w:val="24"/>
          <w:highlight w:val="none"/>
        </w:rPr>
      </w:pPr>
    </w:p>
    <w:p>
      <w:pPr>
        <w:ind w:firstLine="480" w:firstLineChars="200"/>
        <w:rPr>
          <w:rFonts w:hint="eastAsia"/>
          <w:sz w:val="24"/>
          <w:highlight w:val="none"/>
        </w:rPr>
      </w:pPr>
    </w:p>
    <w:p>
      <w:pPr>
        <w:jc w:val="left"/>
        <w:rPr>
          <w:sz w:val="24"/>
          <w:highlight w:val="none"/>
        </w:rPr>
      </w:pPr>
    </w:p>
    <w:p>
      <w:pPr>
        <w:spacing w:line="360" w:lineRule="auto"/>
        <w:rPr>
          <w:rFonts w:hint="eastAsia" w:ascii="黑体" w:hAnsi="宋体" w:eastAsia="黑体"/>
          <w:szCs w:val="21"/>
          <w:highlight w:val="none"/>
        </w:rPr>
      </w:pPr>
    </w:p>
    <w:sectPr>
      <w:footerReference r:id="rId8" w:type="first"/>
      <w:footerReference r:id="rId7"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panose1 w:val="02010601030101010101"/>
    <w:charset w:val="86"/>
    <w:family w:val="auto"/>
    <w:pitch w:val="default"/>
    <w:sig w:usb0="00000003" w:usb1="080E0000" w:usb2="00000000" w:usb3="00000000" w:csb0="00040000" w:csb1="00000000"/>
  </w:font>
  <w:font w:name="方正仿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5"/>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9"/>
            <w:ind w:left="-108"/>
            <w:jc w:val="both"/>
            <w:rPr>
              <w:sz w:val="13"/>
            </w:rPr>
          </w:pPr>
        </w:p>
        <w:p>
          <w:pPr>
            <w:pStyle w:val="9"/>
            <w:ind w:left="-108"/>
            <w:jc w:val="both"/>
          </w:pPr>
          <w:r>
            <w:rPr>
              <w:rFonts w:hint="eastAsia"/>
            </w:rPr>
            <w:t>通讯地址：</w:t>
          </w:r>
        </w:p>
        <w:p>
          <w:pPr>
            <w:pStyle w:val="9"/>
            <w:ind w:left="-108"/>
            <w:jc w:val="both"/>
          </w:pPr>
          <w:r>
            <w:rPr>
              <w:rFonts w:hint="eastAsia"/>
            </w:rPr>
            <w:t>电话：</w:t>
          </w:r>
        </w:p>
        <w:p>
          <w:pPr>
            <w:pStyle w:val="9"/>
            <w:ind w:left="-108"/>
            <w:jc w:val="both"/>
          </w:pPr>
          <w:r>
            <w:rPr>
              <w:rFonts w:hint="eastAsia"/>
            </w:rPr>
            <w:t>传真：</w:t>
          </w:r>
        </w:p>
        <w:p>
          <w:pPr>
            <w:pStyle w:val="9"/>
            <w:ind w:left="-108"/>
            <w:jc w:val="both"/>
          </w:pPr>
          <w:r>
            <w:rPr>
              <w:rFonts w:hint="eastAsia"/>
            </w:rPr>
            <w:t>网址：</w:t>
          </w:r>
        </w:p>
        <w:p>
          <w:pPr>
            <w:pStyle w:val="9"/>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9"/>
            <w:ind w:left="-108"/>
            <w:jc w:val="both"/>
            <w:rPr>
              <w:sz w:val="13"/>
            </w:rPr>
          </w:pPr>
        </w:p>
        <w:p>
          <w:pPr>
            <w:pStyle w:val="9"/>
            <w:ind w:left="-108"/>
            <w:jc w:val="both"/>
          </w:pPr>
          <w:r>
            <w:rPr>
              <w:rFonts w:hint="eastAsia"/>
            </w:rPr>
            <w:t>北京市海淀区增光路33号</w:t>
          </w:r>
          <w:r>
            <w:t>(</w:t>
          </w:r>
          <w:r>
            <w:rPr>
              <w:rFonts w:hint="eastAsia"/>
            </w:rPr>
            <w:t>100048</w:t>
          </w:r>
          <w:r>
            <w:t>)</w:t>
          </w:r>
        </w:p>
        <w:p>
          <w:pPr>
            <w:pStyle w:val="9"/>
            <w:ind w:left="-108"/>
            <w:jc w:val="both"/>
          </w:pPr>
          <w:r>
            <w:rPr>
              <w:rFonts w:hint="eastAsia"/>
            </w:rPr>
            <w:t>（010）88411888（总机）</w:t>
          </w:r>
        </w:p>
        <w:p>
          <w:pPr>
            <w:pStyle w:val="9"/>
            <w:ind w:left="-108"/>
            <w:jc w:val="both"/>
          </w:pPr>
          <w:r>
            <w:rPr>
              <w:rFonts w:hint="eastAsia"/>
            </w:rPr>
            <w:t>（010）88414325</w:t>
          </w:r>
        </w:p>
        <w:p>
          <w:pPr>
            <w:pStyle w:val="9"/>
            <w:jc w:val="both"/>
          </w:pPr>
          <w:r>
            <w:t>http://</w:t>
          </w:r>
          <w:r>
            <w:rPr>
              <w:rFonts w:hint="eastAsia"/>
            </w:rPr>
            <w:t>www.</w:t>
          </w:r>
          <w:r>
            <w:t>cqm.</w:t>
          </w:r>
          <w:r>
            <w:rPr>
              <w:rFonts w:hint="eastAsia"/>
            </w:rPr>
            <w:t>com.</w:t>
          </w:r>
          <w:r>
            <w:t>cn/</w:t>
          </w:r>
        </w:p>
        <w:p>
          <w:pPr>
            <w:pStyle w:val="9"/>
            <w:jc w:val="both"/>
          </w:pPr>
          <w:r>
            <w:t>cqm@cqm.com.cn</w:t>
          </w:r>
        </w:p>
      </w:tc>
      <w:tc>
        <w:tcPr>
          <w:tcW w:w="1620" w:type="dxa"/>
          <w:tcBorders>
            <w:top w:val="thinThickSmallGap" w:color="002071" w:sz="18" w:space="0"/>
            <w:left w:val="nil"/>
            <w:bottom w:val="nil"/>
            <w:right w:val="nil"/>
          </w:tcBorders>
          <w:vAlign w:val="top"/>
        </w:tcPr>
        <w:p>
          <w:pPr>
            <w:pStyle w:val="9"/>
            <w:jc w:val="both"/>
          </w:pPr>
        </w:p>
        <w:p>
          <w:pPr>
            <w:pStyle w:val="9"/>
            <w:jc w:val="both"/>
          </w:pPr>
          <w:r>
            <w:rPr>
              <w:rFonts w:hint="eastAsia"/>
            </w:rPr>
            <w:t xml:space="preserve">文件编号： </w:t>
          </w:r>
        </w:p>
        <w:p>
          <w:pPr>
            <w:pStyle w:val="9"/>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9"/>
            <w:jc w:val="both"/>
          </w:pPr>
        </w:p>
        <w:p>
          <w:pPr>
            <w:pStyle w:val="9"/>
            <w:jc w:val="both"/>
            <w:rPr>
              <w:rFonts w:hint="eastAsia"/>
              <w:lang w:eastAsia="zh-CN"/>
            </w:rPr>
          </w:pPr>
          <w:r>
            <w:t>CQM/S-</w:t>
          </w:r>
          <w:r>
            <w:rPr>
              <w:rFonts w:hint="eastAsia"/>
              <w:lang w:eastAsia="zh-CN"/>
            </w:rPr>
            <w:t>FN-00-001</w:t>
          </w:r>
        </w:p>
        <w:p>
          <w:pPr>
            <w:pStyle w:val="9"/>
            <w:jc w:val="both"/>
          </w:pPr>
          <w:r>
            <w:rPr>
              <w:rFonts w:hint="eastAsia"/>
            </w:rPr>
            <w:t>20</w:t>
          </w:r>
          <w:r>
            <w:rPr>
              <w:rFonts w:hint="eastAsia"/>
              <w:lang w:eastAsia="zh-CN"/>
            </w:rPr>
            <w:t>16</w:t>
          </w:r>
          <w:r>
            <w:rPr>
              <w:rFonts w:hint="eastAsia"/>
            </w:rPr>
            <w:t>年01月01日</w:t>
          </w:r>
        </w:p>
        <w:p>
          <w:pPr>
            <w:pStyle w:val="9"/>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9"/>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9"/>
            <w:jc w:val="both"/>
          </w:pPr>
          <w:r>
            <w:rPr>
              <w:rFonts w:hint="eastAsia"/>
            </w:rPr>
            <w:t xml:space="preserve">第 </w:t>
          </w:r>
          <w:r>
            <w:rPr>
              <w:rFonts w:hint="eastAsia"/>
              <w:lang w:val="en-US" w:eastAsia="zh-CN"/>
            </w:rPr>
            <w:t>1</w:t>
          </w:r>
          <w:r>
            <w:rPr>
              <w:rFonts w:hint="eastAsia"/>
            </w:rPr>
            <w:t xml:space="preserve"> </w:t>
          </w:r>
          <w:r>
            <w:rPr>
              <w:rStyle w:val="17"/>
              <w:rFonts w:hint="eastAsia"/>
            </w:rPr>
            <w:t xml:space="preserve">页  共 </w:t>
          </w:r>
          <w:r>
            <w:rPr>
              <w:rStyle w:val="17"/>
              <w:rFonts w:hint="eastAsia"/>
              <w:lang w:eastAsia="zh-CN"/>
            </w:rPr>
            <w:t>20</w:t>
          </w:r>
          <w:r>
            <w:rPr>
              <w:rStyle w:val="17"/>
              <w:rFonts w:hint="eastAsia"/>
            </w:rPr>
            <w:t xml:space="preserve"> 页</w:t>
          </w:r>
        </w:p>
      </w:tc>
    </w:tr>
  </w:tbl>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5"/>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9"/>
            <w:ind w:left="-108"/>
            <w:jc w:val="both"/>
            <w:rPr>
              <w:sz w:val="13"/>
            </w:rPr>
          </w:pPr>
        </w:p>
        <w:p>
          <w:pPr>
            <w:pStyle w:val="9"/>
            <w:ind w:left="-108"/>
            <w:jc w:val="both"/>
          </w:pPr>
          <w:r>
            <w:rPr>
              <w:rFonts w:hint="eastAsia"/>
            </w:rPr>
            <w:t>通讯地址：</w:t>
          </w:r>
        </w:p>
        <w:p>
          <w:pPr>
            <w:pStyle w:val="9"/>
            <w:ind w:left="-108"/>
            <w:jc w:val="both"/>
          </w:pPr>
          <w:r>
            <w:rPr>
              <w:rFonts w:hint="eastAsia"/>
            </w:rPr>
            <w:t>电话：</w:t>
          </w:r>
        </w:p>
        <w:p>
          <w:pPr>
            <w:pStyle w:val="9"/>
            <w:ind w:left="-108"/>
            <w:jc w:val="both"/>
          </w:pPr>
          <w:r>
            <w:rPr>
              <w:rFonts w:hint="eastAsia"/>
            </w:rPr>
            <w:t>传真：</w:t>
          </w:r>
        </w:p>
        <w:p>
          <w:pPr>
            <w:pStyle w:val="9"/>
            <w:ind w:left="-108"/>
            <w:jc w:val="both"/>
          </w:pPr>
          <w:r>
            <w:rPr>
              <w:rFonts w:hint="eastAsia"/>
            </w:rPr>
            <w:t>网址：</w:t>
          </w:r>
        </w:p>
        <w:p>
          <w:pPr>
            <w:pStyle w:val="9"/>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9"/>
            <w:ind w:left="-108"/>
            <w:jc w:val="both"/>
            <w:rPr>
              <w:sz w:val="13"/>
            </w:rPr>
          </w:pPr>
        </w:p>
        <w:p>
          <w:pPr>
            <w:pStyle w:val="9"/>
            <w:ind w:left="-108"/>
            <w:jc w:val="both"/>
          </w:pPr>
          <w:r>
            <w:rPr>
              <w:rFonts w:hint="eastAsia"/>
            </w:rPr>
            <w:t>北京市海淀区增光路33号</w:t>
          </w:r>
          <w:r>
            <w:t>(</w:t>
          </w:r>
          <w:r>
            <w:rPr>
              <w:rFonts w:hint="eastAsia"/>
            </w:rPr>
            <w:t>100048</w:t>
          </w:r>
          <w:r>
            <w:t>)</w:t>
          </w:r>
        </w:p>
        <w:p>
          <w:pPr>
            <w:pStyle w:val="9"/>
            <w:ind w:left="-108"/>
            <w:jc w:val="both"/>
          </w:pPr>
          <w:r>
            <w:rPr>
              <w:rFonts w:hint="eastAsia"/>
            </w:rPr>
            <w:t>（010）88411888（总机）</w:t>
          </w:r>
        </w:p>
        <w:p>
          <w:pPr>
            <w:pStyle w:val="9"/>
            <w:ind w:left="-108"/>
            <w:jc w:val="both"/>
          </w:pPr>
          <w:r>
            <w:rPr>
              <w:rFonts w:hint="eastAsia"/>
            </w:rPr>
            <w:t>（010）88414325</w:t>
          </w:r>
        </w:p>
        <w:p>
          <w:pPr>
            <w:pStyle w:val="9"/>
            <w:jc w:val="both"/>
          </w:pPr>
          <w:r>
            <w:t>http://</w:t>
          </w:r>
          <w:r>
            <w:rPr>
              <w:rFonts w:hint="eastAsia"/>
            </w:rPr>
            <w:t>www.</w:t>
          </w:r>
          <w:r>
            <w:t>cqm.</w:t>
          </w:r>
          <w:r>
            <w:rPr>
              <w:rFonts w:hint="eastAsia"/>
            </w:rPr>
            <w:t>com.</w:t>
          </w:r>
          <w:r>
            <w:t>cn/</w:t>
          </w:r>
        </w:p>
        <w:p>
          <w:pPr>
            <w:pStyle w:val="9"/>
            <w:jc w:val="both"/>
          </w:pPr>
          <w:r>
            <w:t>cqm@cqm.com.cn</w:t>
          </w:r>
        </w:p>
      </w:tc>
      <w:tc>
        <w:tcPr>
          <w:tcW w:w="1231" w:type="dxa"/>
          <w:tcBorders>
            <w:top w:val="thinThickSmallGap" w:color="002071" w:sz="18" w:space="0"/>
            <w:left w:val="nil"/>
            <w:bottom w:val="nil"/>
            <w:right w:val="nil"/>
          </w:tcBorders>
          <w:vAlign w:val="top"/>
        </w:tcPr>
        <w:p>
          <w:pPr>
            <w:pStyle w:val="9"/>
            <w:jc w:val="both"/>
          </w:pPr>
        </w:p>
        <w:p>
          <w:pPr>
            <w:pStyle w:val="9"/>
            <w:jc w:val="both"/>
          </w:pPr>
          <w:r>
            <w:rPr>
              <w:rFonts w:hint="eastAsia"/>
            </w:rPr>
            <w:t xml:space="preserve">文件编号： </w:t>
          </w:r>
        </w:p>
        <w:p>
          <w:pPr>
            <w:pStyle w:val="9"/>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9"/>
            <w:jc w:val="both"/>
          </w:pPr>
        </w:p>
        <w:p>
          <w:pPr>
            <w:pStyle w:val="9"/>
            <w:jc w:val="both"/>
            <w:rPr>
              <w:lang w:val="en-US" w:eastAsia="zh-CN"/>
            </w:rPr>
          </w:pPr>
          <w:r>
            <w:rPr>
              <w:lang w:val="en-US" w:eastAsia="zh-CN"/>
            </w:rPr>
            <w:t>CQM/S-</w:t>
          </w:r>
          <w:r>
            <w:rPr>
              <w:rFonts w:hint="eastAsia"/>
              <w:lang w:val="en-US" w:eastAsia="zh-CN"/>
            </w:rPr>
            <w:t>FN</w:t>
          </w:r>
          <w:r>
            <w:rPr>
              <w:lang w:val="en-US" w:eastAsia="zh-CN"/>
            </w:rPr>
            <w:t>-</w:t>
          </w:r>
          <w:r>
            <w:rPr>
              <w:rFonts w:hint="eastAsia"/>
              <w:lang w:val="en-US" w:eastAsia="zh-CN"/>
            </w:rPr>
            <w:t>06-</w:t>
          </w:r>
          <w:r>
            <w:rPr>
              <w:lang w:val="en-US" w:eastAsia="zh-CN"/>
            </w:rPr>
            <w:t>00</w:t>
          </w:r>
          <w:r>
            <w:rPr>
              <w:rFonts w:hint="eastAsia"/>
              <w:lang w:val="en-US" w:eastAsia="zh-CN"/>
            </w:rPr>
            <w:t>4</w:t>
          </w:r>
        </w:p>
        <w:p>
          <w:pPr>
            <w:pStyle w:val="9"/>
            <w:jc w:val="both"/>
            <w:rPr>
              <w:rFonts w:hint="eastAsia"/>
              <w:lang w:val="en-US" w:eastAsia="zh-CN"/>
            </w:rPr>
          </w:pPr>
          <w:r>
            <w:rPr>
              <w:rFonts w:hint="eastAsia"/>
              <w:lang w:val="en-US" w:eastAsia="zh-CN"/>
            </w:rPr>
            <w:t>2015年09月09日</w:t>
          </w:r>
        </w:p>
        <w:p>
          <w:pPr>
            <w:pStyle w:val="9"/>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9"/>
            <w:jc w:val="both"/>
          </w:pPr>
          <w:r>
            <w:rPr>
              <w:sz w:val="13"/>
            </w:rPr>
            <w:pict>
              <v:shape id="_x0000_s2080" o:spid="_x0000_s2080"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v:path/>
                <v:fill on="f" focussize="0,0"/>
                <v:stroke on="f"/>
                <v:imagedata o:title=""/>
                <o:lock v:ext="edit" aspectratio="f"/>
                <v:textbox inset="0mm,0mm,0mm,0mm">
                  <w:txbxContent>
                    <w:p>
                      <w:pPr>
                        <w:pStyle w:val="9"/>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w: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tc>
    </w:tr>
  </w:tbl>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w:pict>
        <v:shape id="_x0000_s2071" o:spid="_x0000_s2071"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5"/>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0"/>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1" noChangeArrowheads="1"/>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18675114" o:spid="_x0000_s2055" o:spt="75" type="#_x0000_t75" style="position:absolute;left:0pt;height:841.95pt;width:595.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962306be775099fd3de14e0fdce536b"/>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pPr>
    <w:r>
      <w:pict>
        <v:shape id="WordPictureWatermark18675113" o:spid="_x0000_s2054" o:spt="75" type="#_x0000_t75" style="position:absolute;left:0pt;margin-left:-81pt;margin-top:-46.8pt;height:841.95pt;width:595.3pt;mso-position-horizontal-relative:margin;mso-position-vertical-relative:margin;z-index:-251655168;mso-width-relative:page;mso-height-relative:page;" filled="f" o:preferrelative="t" stroked="f" coordsize="21600,21600" o:allowincell="f">
          <v:path/>
          <v:fill on="f" focussize="0,0"/>
          <v:stroke on="f" joinstyle="miter"/>
          <v:imagedata r:id="rId1" o:title="962306be775099fd3de14e0fdce536b"/>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0FAE2EF6"/>
    <w:multiLevelType w:val="multilevel"/>
    <w:tmpl w:val="0FAE2EF6"/>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6CC3A54"/>
    <w:multiLevelType w:val="multilevel"/>
    <w:tmpl w:val="16CC3A54"/>
    <w:lvl w:ilvl="0" w:tentative="0">
      <w:start w:val="1"/>
      <w:numFmt w:val="decimal"/>
      <w:lvlText w:val="%1）"/>
      <w:lvlJc w:val="left"/>
      <w:pPr>
        <w:ind w:left="56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5">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6">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7">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8">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9">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1">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3">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4">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5">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6">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7">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18">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9">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0">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1">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2">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3">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4">
    <w:nsid w:val="79057DE9"/>
    <w:multiLevelType w:val="multilevel"/>
    <w:tmpl w:val="79057DE9"/>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5">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abstractNum w:abstractNumId="26">
    <w:nsid w:val="7EFB3CFA"/>
    <w:multiLevelType w:val="multilevel"/>
    <w:tmpl w:val="7EFB3CFA"/>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26"/>
  </w:num>
  <w:num w:numId="3">
    <w:abstractNumId w:val="9"/>
  </w:num>
  <w:num w:numId="4">
    <w:abstractNumId w:val="1"/>
  </w:num>
  <w:num w:numId="5">
    <w:abstractNumId w:val="0"/>
  </w:num>
  <w:num w:numId="6">
    <w:abstractNumId w:val="17"/>
  </w:num>
  <w:num w:numId="7">
    <w:abstractNumId w:val="14"/>
  </w:num>
  <w:num w:numId="8">
    <w:abstractNumId w:val="19"/>
  </w:num>
  <w:num w:numId="9">
    <w:abstractNumId w:val="18"/>
  </w:num>
  <w:num w:numId="10">
    <w:abstractNumId w:val="22"/>
  </w:num>
  <w:num w:numId="11">
    <w:abstractNumId w:val="16"/>
  </w:num>
  <w:num w:numId="12">
    <w:abstractNumId w:val="7"/>
  </w:num>
  <w:num w:numId="13">
    <w:abstractNumId w:val="4"/>
  </w:num>
  <w:num w:numId="14">
    <w:abstractNumId w:val="23"/>
  </w:num>
  <w:num w:numId="15">
    <w:abstractNumId w:val="13"/>
  </w:num>
  <w:num w:numId="16">
    <w:abstractNumId w:val="8"/>
  </w:num>
  <w:num w:numId="17">
    <w:abstractNumId w:val="3"/>
  </w:num>
  <w:num w:numId="18">
    <w:abstractNumId w:val="21"/>
  </w:num>
  <w:num w:numId="19">
    <w:abstractNumId w:val="6"/>
  </w:num>
  <w:num w:numId="20">
    <w:abstractNumId w:val="20"/>
  </w:num>
  <w:num w:numId="21">
    <w:abstractNumId w:val="11"/>
  </w:num>
  <w:num w:numId="22">
    <w:abstractNumId w:val="5"/>
  </w:num>
  <w:num w:numId="23">
    <w:abstractNumId w:val="24"/>
  </w:num>
  <w:num w:numId="24">
    <w:abstractNumId w:val="10"/>
  </w:num>
  <w:num w:numId="25">
    <w:abstractNumId w:val="25"/>
  </w:num>
  <w:num w:numId="26">
    <w:abstractNumId w:val="12"/>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IyMDFmZGFiN2YyYmI5ZTc5NmQ2ODI2NjlhYWE5MmYifQ=="/>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66E2140"/>
    <w:rsid w:val="078C29F9"/>
    <w:rsid w:val="0A701D39"/>
    <w:rsid w:val="0AEA0988"/>
    <w:rsid w:val="0C0C1DAF"/>
    <w:rsid w:val="120C3966"/>
    <w:rsid w:val="1F1E48D5"/>
    <w:rsid w:val="34070D19"/>
    <w:rsid w:val="44314A28"/>
    <w:rsid w:val="541E1033"/>
    <w:rsid w:val="5B567260"/>
    <w:rsid w:val="5C0A0C51"/>
    <w:rsid w:val="61095CDB"/>
    <w:rsid w:val="74B4085B"/>
    <w:rsid w:val="76C447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5"/>
    <w:basedOn w:val="1"/>
    <w:next w:val="1"/>
    <w:qFormat/>
    <w:uiPriority w:val="0"/>
    <w:pPr>
      <w:keepNext/>
      <w:jc w:val="center"/>
      <w:outlineLvl w:val="4"/>
    </w:pPr>
    <w:rPr>
      <w:rFonts w:ascii="黑体" w:eastAsia="黑体"/>
      <w:sz w:val="72"/>
      <w:szCs w:val="21"/>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qFormat/>
    <w:uiPriority w:val="0"/>
    <w:pPr>
      <w:widowControl/>
      <w:ind w:firstLine="560" w:firstLineChars="200"/>
      <w:jc w:val="left"/>
    </w:pPr>
    <w:rPr>
      <w:rFonts w:ascii="宋体" w:hAnsi="宋体"/>
      <w:color w:val="000000"/>
      <w:sz w:val="28"/>
      <w:szCs w:val="33"/>
    </w:rPr>
  </w:style>
  <w:style w:type="paragraph" w:styleId="6">
    <w:name w:val="List 2"/>
    <w:basedOn w:val="1"/>
    <w:qFormat/>
    <w:uiPriority w:val="0"/>
    <w:pPr>
      <w:ind w:left="100" w:leftChars="200" w:hanging="200" w:hangingChars="200"/>
    </w:pPr>
  </w:style>
  <w:style w:type="paragraph" w:styleId="7">
    <w:name w:val="Body Text Indent 2"/>
    <w:basedOn w:val="1"/>
    <w:qFormat/>
    <w:uiPriority w:val="0"/>
    <w:pPr>
      <w:spacing w:after="120" w:line="480" w:lineRule="auto"/>
      <w:ind w:left="420" w:leftChars="200"/>
    </w:pPr>
  </w:style>
  <w:style w:type="paragraph" w:styleId="8">
    <w:name w:val="Balloon Text"/>
    <w:basedOn w:val="1"/>
    <w:link w:val="19"/>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2">
    <w:name w:val="Body Text Indent 3"/>
    <w:basedOn w:val="1"/>
    <w:qFormat/>
    <w:uiPriority w:val="0"/>
    <w:pPr>
      <w:spacing w:after="120"/>
      <w:ind w:left="420" w:leftChars="200"/>
    </w:pPr>
    <w:rPr>
      <w:sz w:val="16"/>
      <w:szCs w:val="16"/>
    </w:rPr>
  </w:style>
  <w:style w:type="paragraph" w:styleId="13">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4">
    <w:name w:val="Title"/>
    <w:basedOn w:val="1"/>
    <w:next w:val="1"/>
    <w:qFormat/>
    <w:uiPriority w:val="0"/>
    <w:pPr>
      <w:spacing w:before="240" w:after="60"/>
      <w:jc w:val="center"/>
      <w:outlineLvl w:val="0"/>
    </w:pPr>
    <w:rPr>
      <w:rFonts w:ascii="Cambria" w:hAnsi="Cambria"/>
      <w:b/>
      <w:bCs/>
      <w:sz w:val="32"/>
      <w:szCs w:val="32"/>
    </w:rPr>
  </w:style>
  <w:style w:type="character" w:styleId="17">
    <w:name w:val="page number"/>
    <w:basedOn w:val="16"/>
    <w:qFormat/>
    <w:uiPriority w:val="0"/>
  </w:style>
  <w:style w:type="character" w:styleId="18">
    <w:name w:val="Hyperlink"/>
    <w:basedOn w:val="16"/>
    <w:qFormat/>
    <w:uiPriority w:val="0"/>
    <w:rPr>
      <w:color w:val="0000FF"/>
      <w:u w:val="single"/>
    </w:rPr>
  </w:style>
  <w:style w:type="character" w:customStyle="1" w:styleId="19">
    <w:name w:val="批注框文本 Char"/>
    <w:basedOn w:val="16"/>
    <w:link w:val="8"/>
    <w:qFormat/>
    <w:uiPriority w:val="0"/>
    <w:rPr>
      <w:kern w:val="2"/>
      <w:sz w:val="18"/>
      <w:szCs w:val="18"/>
    </w:rPr>
  </w:style>
  <w:style w:type="paragraph" w:customStyle="1" w:styleId="20">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21">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wmf"/><Relationship Id="rId10" Type="http://schemas.openxmlformats.org/officeDocument/2006/relationships/oleObject" Target="embeddings/oleObject1.bin"/><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5"/>
    <customShpInfo spid="_x0000_s2054"/>
    <customShpInfo spid="_x0000_s2080" textRotate="1"/>
    <customShpInfo spid="_x0000_s2071"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23</Pages>
  <Words>12833</Words>
  <Characters>13448</Characters>
  <Lines>5</Lines>
  <Paragraphs>1</Paragraphs>
  <TotalTime>2</TotalTime>
  <ScaleCrop>false</ScaleCrop>
  <LinksUpToDate>false</LinksUpToDate>
  <CharactersWithSpaces>13961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2023-04-07T08:32:00Z</dcterms:created>
  <dc:creator>hh</dc:creator>
  <cp:lastModifiedBy>zz</cp:lastModifiedBy>
  <cp:lastPrinted>2023-04-07T05:36:00Z</cp:lastPrinted>
  <dcterms:modified xsi:type="dcterms:W3CDTF">2023-04-25T01:53:37Z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505D568FDD1F454983EF148F1C85904F</vt:lpwstr>
  </property>
</Properties>
</file>